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386222" w:rsidP="008A020E">
            <w:r>
              <w:rPr>
                <w:color w:val="A6A6A6" w:themeColor="background1" w:themeShade="A6"/>
                <w:sz w:val="56"/>
              </w:rPr>
              <w:t>2-5</w:t>
            </w:r>
            <w:r w:rsidR="007B1D53" w:rsidRPr="007B1D53">
              <w:rPr>
                <w:color w:val="A6A6A6" w:themeColor="background1" w:themeShade="A6"/>
                <w:sz w:val="56"/>
              </w:rPr>
              <w:t xml:space="preserve"> </w:t>
            </w:r>
            <w:r w:rsidR="006C13DF" w:rsidRPr="00C75E94">
              <w:rPr>
                <w:sz w:val="56"/>
              </w:rPr>
              <w:t>Hypertension</w:t>
            </w:r>
            <w:r w:rsidR="001631C3">
              <w:rPr>
                <w:sz w:val="56"/>
              </w:rPr>
              <w:t xml:space="preserve"> </w:t>
            </w:r>
            <w:r w:rsidR="008A020E" w:rsidRPr="00396F41">
              <w:t>v.1</w:t>
            </w:r>
          </w:p>
        </w:tc>
      </w:tr>
      <w:tr w:rsidR="007B1D53" w:rsidTr="007B1D53">
        <w:tc>
          <w:tcPr>
            <w:tcW w:w="15614" w:type="dxa"/>
            <w:tcBorders>
              <w:top w:val="single" w:sz="4" w:space="0" w:color="auto"/>
              <w:bottom w:val="single" w:sz="4" w:space="0" w:color="auto"/>
            </w:tcBorders>
          </w:tcPr>
          <w:p w:rsidR="0059108B" w:rsidRDefault="00157DA6" w:rsidP="00157DA6">
            <w:r>
              <w:t xml:space="preserve">Hypertension is most commonly due to inappropriate depth of anaesthesia </w:t>
            </w:r>
            <w:r w:rsidR="00BA1959">
              <w:t xml:space="preserve">or </w:t>
            </w:r>
            <w:r w:rsidR="00943936">
              <w:t xml:space="preserve">inadequate </w:t>
            </w:r>
            <w:r w:rsidR="00BA1959">
              <w:t>analgesia</w:t>
            </w:r>
            <w:r w:rsidR="00386222">
              <w:t>.</w:t>
            </w:r>
          </w:p>
          <w:p w:rsidR="00D32515" w:rsidRDefault="006730E0" w:rsidP="00157DA6">
            <w:r>
              <w:t>You should rapidly exclude a problem in adequate oxygen delivery, airway and breathing first</w:t>
            </w:r>
            <w:r w:rsidR="00386222">
              <w:t>.</w:t>
            </w:r>
          </w:p>
        </w:tc>
      </w:tr>
    </w:tbl>
    <w:p w:rsidR="009266E8" w:rsidRDefault="00DE5E80">
      <w:r w:rsidRPr="00DE5E8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9.75pt;margin-top:15.2pt;width:430.3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lMIgIAAB4EAAAOAAAAZHJzL2Uyb0RvYy54bWysU21v2yAQ/j5p/wHxfbHjx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" stroked="f">
            <v:textbox>
              <w:txbxContent>
                <w:p w:rsidR="001612AF" w:rsidRPr="00157DA6" w:rsidRDefault="001612AF" w:rsidP="00157DA6">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CB73E4" w:rsidRDefault="001612AF" w:rsidP="006F06DF">
                  <w:pPr>
                    <w:spacing w:after="0"/>
                    <w:rPr>
                      <w:rFonts w:cstheme="minorHAnsi"/>
                    </w:rPr>
                  </w:pPr>
                  <w:r w:rsidRPr="00472AAD">
                    <w:rPr>
                      <w:rFonts w:cstheme="minorHAnsi"/>
                    </w:rPr>
                    <w:t xml:space="preserve">❶ </w:t>
                  </w:r>
                  <w:r w:rsidR="00943936">
                    <w:rPr>
                      <w:rFonts w:cstheme="minorHAnsi"/>
                      <w:b/>
                    </w:rPr>
                    <w:t>Immediate a</w:t>
                  </w:r>
                  <w:r>
                    <w:rPr>
                      <w:rFonts w:cstheme="minorHAnsi"/>
                      <w:b/>
                    </w:rPr>
                    <w:t>ctions</w:t>
                  </w:r>
                </w:p>
                <w:p w:rsidR="001612AF" w:rsidRPr="00472AAD" w:rsidRDefault="001612AF" w:rsidP="00CB73E4">
                  <w:pPr>
                    <w:pStyle w:val="ListParagraph"/>
                    <w:numPr>
                      <w:ilvl w:val="0"/>
                      <w:numId w:val="19"/>
                    </w:numPr>
                    <w:spacing w:after="0"/>
                  </w:pPr>
                  <w:r w:rsidRPr="00CB73E4">
                    <w:rPr>
                      <w:rFonts w:cstheme="minorHAnsi"/>
                    </w:rPr>
                    <w:t>Rech</w:t>
                  </w:r>
                  <w:r w:rsidR="00CB73E4" w:rsidRPr="00CB73E4">
                    <w:rPr>
                      <w:rFonts w:cstheme="minorHAnsi"/>
                    </w:rPr>
                    <w:t>eck blood pressure</w:t>
                  </w:r>
                  <w:r w:rsidR="00943936" w:rsidRPr="00CB73E4">
                    <w:rPr>
                      <w:rFonts w:cstheme="minorHAnsi"/>
                    </w:rPr>
                    <w:t xml:space="preserve"> AND increase anaesthesia</w:t>
                  </w:r>
                  <w:r w:rsidRPr="00CB73E4">
                    <w:rPr>
                      <w:rFonts w:cstheme="minorHAnsi"/>
                    </w:rPr>
                    <w:t xml:space="preserve"> AND reduce stimulus</w:t>
                  </w:r>
                  <w:r w:rsidR="009A23A1" w:rsidRPr="00CB73E4">
                    <w:rPr>
                      <w:rFonts w:cstheme="minorHAnsi"/>
                    </w:rPr>
                    <w:t>.</w:t>
                  </w:r>
                </w:p>
                <w:p w:rsidR="001612AF" w:rsidRPr="00CD2C49" w:rsidRDefault="001612AF" w:rsidP="006F06DF">
                  <w:pPr>
                    <w:spacing w:after="0"/>
                    <w:rPr>
                      <w:rFonts w:cstheme="minorHAnsi"/>
                    </w:rPr>
                  </w:pPr>
                  <w:r w:rsidRPr="00472AAD">
                    <w:rPr>
                      <w:rFonts w:cstheme="minorHAnsi"/>
                    </w:rPr>
                    <w:t>❷</w:t>
                  </w:r>
                  <w:r>
                    <w:t xml:space="preserve"> </w:t>
                  </w:r>
                  <w:r w:rsidR="00943936">
                    <w:rPr>
                      <w:rFonts w:cstheme="minorHAnsi"/>
                      <w:b/>
                    </w:rPr>
                    <w:t>Adequate oxygen d</w:t>
                  </w:r>
                  <w:r w:rsidRPr="00472AAD">
                    <w:rPr>
                      <w:rFonts w:cstheme="minorHAnsi"/>
                      <w:b/>
                    </w:rPr>
                    <w:t>elivery</w:t>
                  </w:r>
                </w:p>
                <w:p w:rsidR="001612AF" w:rsidRPr="00472AAD" w:rsidRDefault="00943936" w:rsidP="006F06DF">
                  <w:pPr>
                    <w:pStyle w:val="ListParagraph"/>
                    <w:numPr>
                      <w:ilvl w:val="0"/>
                      <w:numId w:val="10"/>
                    </w:numPr>
                    <w:spacing w:after="0"/>
                  </w:pPr>
                  <w:r>
                    <w:t>Check fresh g</w:t>
                  </w:r>
                  <w:r w:rsidR="001612AF" w:rsidRPr="00472AAD">
                    <w:t>a</w:t>
                  </w:r>
                  <w:r>
                    <w:t>s f</w:t>
                  </w:r>
                  <w:r w:rsidR="00CB73E4">
                    <w:t>low</w:t>
                  </w:r>
                  <w:r w:rsidR="001612AF">
                    <w:t xml:space="preserve"> for circuit in use AND </w:t>
                  </w:r>
                  <w:r>
                    <w:t>c</w:t>
                  </w:r>
                  <w:r w:rsidR="001612AF" w:rsidRPr="00472AAD">
                    <w:t>heck measured F</w:t>
                  </w:r>
                  <w:r w:rsidR="001612AF" w:rsidRPr="005371D5">
                    <w:rPr>
                      <w:vertAlign w:val="subscript"/>
                    </w:rPr>
                    <w:t>i</w:t>
                  </w:r>
                  <w:r w:rsidR="001612AF" w:rsidRPr="00472AAD">
                    <w:t>O</w:t>
                  </w:r>
                  <w:r w:rsidR="001612AF" w:rsidRPr="005371D5">
                    <w:rPr>
                      <w:vertAlign w:val="subscript"/>
                    </w:rPr>
                    <w:t>2</w:t>
                  </w:r>
                  <w:r w:rsidR="009A23A1">
                    <w:t>.</w:t>
                  </w:r>
                </w:p>
                <w:p w:rsidR="001612AF" w:rsidRPr="00FE2B23" w:rsidRDefault="001612AF" w:rsidP="004144DB">
                  <w:pPr>
                    <w:pStyle w:val="ListParagraph"/>
                    <w:numPr>
                      <w:ilvl w:val="0"/>
                      <w:numId w:val="10"/>
                    </w:numPr>
                    <w:spacing w:after="0"/>
                  </w:pPr>
                  <w:r>
                    <w:t>Visual inspection of entire breathing system including valves and connections</w:t>
                  </w:r>
                  <w:r w:rsidR="009A23A1">
                    <w:t>.</w:t>
                  </w:r>
                </w:p>
                <w:p w:rsidR="001612AF" w:rsidRPr="006633B1" w:rsidRDefault="001612AF" w:rsidP="006F06DF">
                  <w:pPr>
                    <w:pStyle w:val="ListParagraph"/>
                    <w:numPr>
                      <w:ilvl w:val="0"/>
                      <w:numId w:val="10"/>
                    </w:numPr>
                    <w:spacing w:after="120"/>
                    <w:ind w:left="760" w:hanging="357"/>
                    <w:rPr>
                      <w:szCs w:val="20"/>
                    </w:rPr>
                  </w:pPr>
                  <w:r>
                    <w:rPr>
                      <w:szCs w:val="20"/>
                    </w:rPr>
                    <w:t>Rapidly c</w:t>
                  </w:r>
                  <w:r w:rsidRPr="006633B1">
                    <w:rPr>
                      <w:szCs w:val="20"/>
                    </w:rPr>
                    <w:t xml:space="preserve">onfirm reservoir bag </w:t>
                  </w:r>
                  <w:r>
                    <w:rPr>
                      <w:szCs w:val="20"/>
                    </w:rPr>
                    <w:t xml:space="preserve">moving </w:t>
                  </w:r>
                  <w:r w:rsidRPr="006633B1">
                    <w:rPr>
                      <w:szCs w:val="20"/>
                    </w:rPr>
                    <w:t>OR ventilator bellows moving</w:t>
                  </w:r>
                  <w:r w:rsidR="009A23A1">
                    <w:rPr>
                      <w:szCs w:val="20"/>
                    </w:rPr>
                    <w:t>.</w:t>
                  </w:r>
                </w:p>
                <w:p w:rsidR="001612AF" w:rsidRPr="00CD2C49" w:rsidRDefault="001612AF" w:rsidP="006F06DF">
                  <w:pPr>
                    <w:spacing w:after="0"/>
                  </w:pPr>
                  <w:r w:rsidRPr="00DE25E3">
                    <w:rPr>
                      <w:rFonts w:cstheme="minorHAnsi"/>
                    </w:rPr>
                    <w:t>❸</w:t>
                  </w:r>
                  <w:r>
                    <w:rPr>
                      <w:rFonts w:cstheme="minorHAnsi"/>
                    </w:rPr>
                    <w:t xml:space="preserve"> </w:t>
                  </w:r>
                  <w:r w:rsidRPr="005371D5">
                    <w:rPr>
                      <w:b/>
                    </w:rPr>
                    <w:t>Airway</w:t>
                  </w:r>
                </w:p>
                <w:p w:rsidR="001612AF" w:rsidRPr="00CA20B4" w:rsidRDefault="001612AF" w:rsidP="006F06DF">
                  <w:pPr>
                    <w:pStyle w:val="ListParagraph"/>
                    <w:numPr>
                      <w:ilvl w:val="0"/>
                      <w:numId w:val="11"/>
                    </w:numPr>
                    <w:spacing w:after="0"/>
                  </w:pPr>
                  <w:r w:rsidRPr="00CA20B4">
                    <w:rPr>
                      <w:rFonts w:cstheme="minorHAnsi"/>
                    </w:rPr>
                    <w:t>Check position of airway device and listen for noise (including larynx and stomach)</w:t>
                  </w:r>
                  <w:r w:rsidR="009A23A1">
                    <w:rPr>
                      <w:rFonts w:cstheme="minorHAnsi"/>
                    </w:rPr>
                    <w:t>.</w:t>
                  </w:r>
                </w:p>
                <w:p w:rsidR="001612AF" w:rsidRPr="003F1E41" w:rsidRDefault="001612AF" w:rsidP="006F06DF">
                  <w:pPr>
                    <w:pStyle w:val="ListParagraph"/>
                    <w:numPr>
                      <w:ilvl w:val="0"/>
                      <w:numId w:val="11"/>
                    </w:numPr>
                    <w:spacing w:after="0"/>
                  </w:pPr>
                  <w:r w:rsidRPr="003F1E41">
                    <w:rPr>
                      <w:rFonts w:cstheme="minorHAnsi"/>
                    </w:rPr>
                    <w:t xml:space="preserve">Check </w:t>
                  </w:r>
                  <w:proofErr w:type="spellStart"/>
                  <w:r w:rsidRPr="003F1E41">
                    <w:rPr>
                      <w:rFonts w:cstheme="minorHAnsi"/>
                    </w:rPr>
                    <w:t>capnogram</w:t>
                  </w:r>
                  <w:proofErr w:type="spellEnd"/>
                  <w:r w:rsidRPr="003F1E41">
                    <w:rPr>
                      <w:rFonts w:cstheme="minorHAnsi"/>
                    </w:rPr>
                    <w:t xml:space="preserve"> shape compatible with patent airway</w:t>
                  </w:r>
                  <w:r w:rsidR="009A23A1">
                    <w:rPr>
                      <w:rFonts w:cstheme="minorHAnsi"/>
                    </w:rPr>
                    <w:t>.</w:t>
                  </w:r>
                </w:p>
                <w:p w:rsidR="001612AF" w:rsidRPr="003F1E41" w:rsidRDefault="001612AF" w:rsidP="006F06DF">
                  <w:pPr>
                    <w:pStyle w:val="ListParagraph"/>
                    <w:numPr>
                      <w:ilvl w:val="0"/>
                      <w:numId w:val="11"/>
                    </w:numPr>
                    <w:spacing w:after="120"/>
                    <w:ind w:left="760" w:hanging="357"/>
                  </w:pPr>
                  <w:r w:rsidRPr="003F1E41">
                    <w:rPr>
                      <w:rFonts w:cstheme="minorHAnsi"/>
                    </w:rPr>
                    <w:t xml:space="preserve">Confirm </w:t>
                  </w:r>
                  <w:r w:rsidRPr="003F1E41">
                    <w:t>airway device</w:t>
                  </w:r>
                  <w:r w:rsidRPr="003F1E41">
                    <w:rPr>
                      <w:rFonts w:cstheme="minorHAnsi"/>
                    </w:rPr>
                    <w:t xml:space="preserve"> is patent (c</w:t>
                  </w:r>
                  <w:r w:rsidRPr="003F1E41">
                    <w:t>onsider pas</w:t>
                  </w:r>
                  <w:r w:rsidR="009A23A1">
                    <w:t>sing suction catheter).</w:t>
                  </w:r>
                </w:p>
                <w:p w:rsidR="001612AF" w:rsidRPr="00157DA6" w:rsidRDefault="001612AF" w:rsidP="006F06DF">
                  <w:pPr>
                    <w:spacing w:after="0"/>
                    <w:rPr>
                      <w:rFonts w:cstheme="minorHAnsi"/>
                    </w:rPr>
                  </w:pPr>
                  <w:r w:rsidRPr="00DE0D0D">
                    <w:rPr>
                      <w:rFonts w:cstheme="minorHAnsi"/>
                    </w:rPr>
                    <w:t>❹</w:t>
                  </w:r>
                  <w:r w:rsidRPr="00157DA6">
                    <w:rPr>
                      <w:rFonts w:cstheme="minorHAnsi"/>
                      <w:b/>
                    </w:rPr>
                    <w:t xml:space="preserve"> </w:t>
                  </w:r>
                  <w:r w:rsidRPr="00DE0D0D">
                    <w:rPr>
                      <w:rFonts w:cstheme="minorHAnsi"/>
                      <w:b/>
                    </w:rPr>
                    <w:t>Breathing</w:t>
                  </w:r>
                  <w:r w:rsidR="00386222">
                    <w:rPr>
                      <w:rFonts w:cstheme="minorHAnsi"/>
                      <w:b/>
                    </w:rPr>
                    <w:t xml:space="preserve"> </w:t>
                  </w:r>
                  <w:r>
                    <w:rPr>
                      <w:rFonts w:cstheme="minorHAnsi"/>
                    </w:rPr>
                    <w:t>-</w:t>
                  </w:r>
                  <w:r w:rsidR="00386222">
                    <w:rPr>
                      <w:rFonts w:cstheme="minorHAnsi"/>
                    </w:rPr>
                    <w:t xml:space="preserve"> </w:t>
                  </w:r>
                  <w:r>
                    <w:rPr>
                      <w:rFonts w:cstheme="minorHAnsi"/>
                    </w:rPr>
                    <w:t xml:space="preserve">exclude </w:t>
                  </w:r>
                  <w:r w:rsidR="00943936">
                    <w:rPr>
                      <w:rFonts w:cstheme="minorHAnsi"/>
                      <w:b/>
                    </w:rPr>
                    <w:t>h</w:t>
                  </w:r>
                  <w:r w:rsidRPr="00BA1959">
                    <w:rPr>
                      <w:rFonts w:cstheme="minorHAnsi"/>
                      <w:b/>
                    </w:rPr>
                    <w:t>ypoxia</w:t>
                  </w:r>
                  <w:r>
                    <w:rPr>
                      <w:rFonts w:cstheme="minorHAnsi"/>
                    </w:rPr>
                    <w:t xml:space="preserve"> and </w:t>
                  </w:r>
                  <w:r w:rsidR="00943936">
                    <w:rPr>
                      <w:rFonts w:cstheme="minorHAnsi"/>
                      <w:b/>
                    </w:rPr>
                    <w:t>h</w:t>
                  </w:r>
                  <w:r w:rsidRPr="00BA1959">
                    <w:rPr>
                      <w:rFonts w:cstheme="minorHAnsi"/>
                      <w:b/>
                    </w:rPr>
                    <w:t>ypercarbia</w:t>
                  </w:r>
                  <w:r>
                    <w:rPr>
                      <w:rFonts w:cstheme="minorHAnsi"/>
                    </w:rPr>
                    <w:t xml:space="preserve"> as causes</w:t>
                  </w:r>
                  <w:r w:rsidR="009A23A1">
                    <w:rPr>
                      <w:rFonts w:cstheme="minorHAnsi"/>
                    </w:rPr>
                    <w:t>:</w:t>
                  </w:r>
                </w:p>
                <w:p w:rsidR="001612AF" w:rsidRPr="00AF6436" w:rsidRDefault="001612AF" w:rsidP="006F06DF">
                  <w:pPr>
                    <w:pStyle w:val="ListParagraph"/>
                    <w:numPr>
                      <w:ilvl w:val="0"/>
                      <w:numId w:val="14"/>
                    </w:numPr>
                    <w:spacing w:after="0"/>
                  </w:pPr>
                  <w:r w:rsidRPr="00AF6436">
                    <w:rPr>
                      <w:rFonts w:cstheme="minorHAnsi"/>
                    </w:rPr>
                    <w:t>Check chest symmetry, rate, breath sounds, SpO</w:t>
                  </w:r>
                  <w:r w:rsidRPr="00AF6436">
                    <w:rPr>
                      <w:rFonts w:cstheme="minorHAnsi"/>
                      <w:vertAlign w:val="subscript"/>
                    </w:rPr>
                    <w:t>2</w:t>
                  </w:r>
                  <w:r w:rsidRPr="00AF6436">
                    <w:rPr>
                      <w:rFonts w:cstheme="minorHAnsi"/>
                    </w:rPr>
                    <w:t xml:space="preserve">, measured </w:t>
                  </w:r>
                  <w:proofErr w:type="spellStart"/>
                  <w:r w:rsidRPr="00AF6436">
                    <w:rPr>
                      <w:rFonts w:cstheme="minorHAnsi"/>
                    </w:rPr>
                    <w:t>VT</w:t>
                  </w:r>
                  <w:r w:rsidRPr="00CB73E4">
                    <w:rPr>
                      <w:rFonts w:cstheme="minorHAnsi"/>
                      <w:sz w:val="20"/>
                    </w:rPr>
                    <w:t>exp</w:t>
                  </w:r>
                  <w:proofErr w:type="spellEnd"/>
                  <w:r w:rsidR="00CB73E4">
                    <w:rPr>
                      <w:rFonts w:cstheme="minorHAnsi"/>
                    </w:rPr>
                    <w:t>, ET</w:t>
                  </w:r>
                  <w:r w:rsidRPr="00AF6436">
                    <w:rPr>
                      <w:rFonts w:cstheme="minorHAnsi"/>
                    </w:rPr>
                    <w:t>CO</w:t>
                  </w:r>
                  <w:r w:rsidRPr="00AF6436">
                    <w:rPr>
                      <w:rFonts w:cstheme="minorHAnsi"/>
                      <w:vertAlign w:val="subscript"/>
                    </w:rPr>
                    <w:t>2</w:t>
                  </w:r>
                  <w:r w:rsidR="009A23A1">
                    <w:rPr>
                      <w:rFonts w:cstheme="minorHAnsi"/>
                    </w:rPr>
                    <w:t>.</w:t>
                  </w:r>
                </w:p>
                <w:p w:rsidR="001612AF" w:rsidRPr="00AF6436" w:rsidRDefault="001612AF" w:rsidP="006F06DF">
                  <w:pPr>
                    <w:pStyle w:val="ListParagraph"/>
                    <w:numPr>
                      <w:ilvl w:val="0"/>
                      <w:numId w:val="14"/>
                    </w:numPr>
                    <w:spacing w:after="120"/>
                    <w:ind w:left="760" w:hanging="357"/>
                  </w:pPr>
                  <w:r w:rsidRPr="00AF6436">
                    <w:rPr>
                      <w:rFonts w:cstheme="minorHAnsi"/>
                    </w:rPr>
                    <w:t>Feel the airway pressure using res</w:t>
                  </w:r>
                  <w:r>
                    <w:rPr>
                      <w:rFonts w:cstheme="minorHAnsi"/>
                    </w:rPr>
                    <w:t>ervoir bag and APL valve</w:t>
                  </w:r>
                  <w:r w:rsidRPr="00AF6436">
                    <w:rPr>
                      <w:rFonts w:cstheme="minorHAnsi"/>
                    </w:rPr>
                    <w:t xml:space="preserve"> &lt;3 breaths</w:t>
                  </w:r>
                  <w:r w:rsidR="009A23A1">
                    <w:rPr>
                      <w:rFonts w:cstheme="minorHAnsi"/>
                    </w:rPr>
                    <w:t>.</w:t>
                  </w:r>
                </w:p>
                <w:p w:rsidR="001612AF" w:rsidRDefault="001612AF" w:rsidP="006F06DF">
                  <w:pPr>
                    <w:spacing w:after="0"/>
                    <w:rPr>
                      <w:rFonts w:cstheme="minorHAnsi"/>
                    </w:rPr>
                  </w:pPr>
                  <w:r>
                    <w:rPr>
                      <w:rFonts w:cstheme="minorHAnsi"/>
                    </w:rPr>
                    <w:t>❺</w:t>
                  </w:r>
                  <w:r w:rsidRPr="00157DA6">
                    <w:rPr>
                      <w:rFonts w:cstheme="minorHAnsi"/>
                      <w:b/>
                    </w:rPr>
                    <w:t xml:space="preserve"> </w:t>
                  </w:r>
                  <w:r w:rsidRPr="00DE0D0D">
                    <w:rPr>
                      <w:rFonts w:cstheme="minorHAnsi"/>
                      <w:b/>
                    </w:rPr>
                    <w:t>Circulation</w:t>
                  </w:r>
                </w:p>
                <w:p w:rsidR="001612AF" w:rsidRDefault="00943936" w:rsidP="006F06DF">
                  <w:pPr>
                    <w:pStyle w:val="ListParagraph"/>
                    <w:numPr>
                      <w:ilvl w:val="0"/>
                      <w:numId w:val="15"/>
                    </w:numPr>
                    <w:spacing w:after="0"/>
                  </w:pPr>
                  <w:r>
                    <w:t>Check r</w:t>
                  </w:r>
                  <w:r w:rsidR="001612AF">
                    <w:t xml:space="preserve">ate, </w:t>
                  </w:r>
                  <w:r>
                    <w:t>rhythm, perfusion; i</w:t>
                  </w:r>
                  <w:r w:rsidR="001612AF">
                    <w:t>ncrease frequency of BP check</w:t>
                  </w:r>
                  <w:r w:rsidR="009A23A1">
                    <w:t>.</w:t>
                  </w:r>
                </w:p>
                <w:p w:rsidR="001612AF" w:rsidRPr="00DE0D0D" w:rsidRDefault="00943936" w:rsidP="006F06DF">
                  <w:pPr>
                    <w:pStyle w:val="ListParagraph"/>
                    <w:numPr>
                      <w:ilvl w:val="0"/>
                      <w:numId w:val="15"/>
                    </w:numPr>
                    <w:spacing w:after="120"/>
                    <w:ind w:left="760" w:hanging="357"/>
                  </w:pPr>
                  <w:r>
                    <w:t>Check c</w:t>
                  </w:r>
                  <w:r w:rsidR="001612AF">
                    <w:t xml:space="preserve">uff </w:t>
                  </w:r>
                  <w:r>
                    <w:t>size and location, consider i</w:t>
                  </w:r>
                  <w:r w:rsidR="001612AF">
                    <w:t>ntra-arterial monitoring</w:t>
                  </w:r>
                  <w:r w:rsidR="009A23A1">
                    <w:t>.</w:t>
                  </w:r>
                </w:p>
                <w:p w:rsidR="001612AF" w:rsidRDefault="001612AF" w:rsidP="006F06DF">
                  <w:pPr>
                    <w:spacing w:after="0"/>
                    <w:rPr>
                      <w:rFonts w:cstheme="minorHAnsi"/>
                    </w:rPr>
                  </w:pPr>
                  <w:r w:rsidRPr="00DE0D0D">
                    <w:rPr>
                      <w:rFonts w:cstheme="minorHAnsi"/>
                    </w:rPr>
                    <w:t>❻</w:t>
                  </w:r>
                  <w:r w:rsidRPr="00157DA6">
                    <w:rPr>
                      <w:rFonts w:cstheme="minorHAnsi"/>
                      <w:b/>
                    </w:rPr>
                    <w:t xml:space="preserve"> </w:t>
                  </w:r>
                  <w:r w:rsidRPr="00DE0D0D">
                    <w:rPr>
                      <w:rFonts w:cstheme="minorHAnsi"/>
                      <w:b/>
                    </w:rPr>
                    <w:t>Depth</w:t>
                  </w:r>
                </w:p>
                <w:p w:rsidR="001612AF" w:rsidRDefault="001612AF" w:rsidP="006F06DF">
                  <w:pPr>
                    <w:pStyle w:val="ListParagraph"/>
                    <w:numPr>
                      <w:ilvl w:val="0"/>
                      <w:numId w:val="15"/>
                    </w:numPr>
                    <w:spacing w:after="120"/>
                    <w:ind w:left="760" w:hanging="357"/>
                  </w:pPr>
                  <w:r>
                    <w:rPr>
                      <w:rFonts w:cstheme="minorHAnsi"/>
                    </w:rPr>
                    <w:t>Ensure adequate depth of anaesthesia and a</w:t>
                  </w:r>
                  <w:r w:rsidRPr="00157DA6">
                    <w:rPr>
                      <w:rFonts w:cstheme="minorHAnsi"/>
                    </w:rPr>
                    <w:t>nalgesia</w:t>
                  </w:r>
                  <w:r w:rsidR="009A23A1">
                    <w:rPr>
                      <w:rFonts w:cstheme="minorHAnsi"/>
                    </w:rPr>
                    <w:t>.</w:t>
                  </w:r>
                </w:p>
                <w:p w:rsidR="001612AF" w:rsidRDefault="001612AF" w:rsidP="006F06DF">
                  <w:pPr>
                    <w:spacing w:after="120"/>
                    <w:rPr>
                      <w:rFonts w:cstheme="minorHAnsi"/>
                    </w:rPr>
                  </w:pPr>
                  <w:r>
                    <w:rPr>
                      <w:rFonts w:cstheme="minorHAnsi"/>
                    </w:rPr>
                    <w:t>❼</w:t>
                  </w:r>
                  <w:r w:rsidR="00943936">
                    <w:rPr>
                      <w:rFonts w:cstheme="minorHAnsi"/>
                    </w:rPr>
                    <w:t xml:space="preserve"> Consider underlying p</w:t>
                  </w:r>
                  <w:r>
                    <w:rPr>
                      <w:rFonts w:cstheme="minorHAnsi"/>
                    </w:rPr>
                    <w:t>roblem (Box B)</w:t>
                  </w:r>
                  <w:r w:rsidR="009A23A1">
                    <w:rPr>
                      <w:rFonts w:cstheme="minorHAnsi"/>
                    </w:rPr>
                    <w:t>.</w:t>
                  </w:r>
                </w:p>
                <w:p w:rsidR="001612AF" w:rsidRDefault="001612AF" w:rsidP="006F06DF">
                  <w:pPr>
                    <w:spacing w:after="0"/>
                  </w:pPr>
                  <w:r>
                    <w:rPr>
                      <w:rFonts w:cstheme="minorHAnsi"/>
                    </w:rPr>
                    <w:t>❽</w:t>
                  </w:r>
                  <w:r w:rsidRPr="00157DA6">
                    <w:rPr>
                      <w:rFonts w:cstheme="minorHAnsi"/>
                    </w:rPr>
                    <w:t xml:space="preserve"> </w:t>
                  </w:r>
                  <w:r w:rsidR="00943936">
                    <w:rPr>
                      <w:rFonts w:cstheme="minorHAnsi"/>
                    </w:rPr>
                    <w:t>Call for help and consider t</w:t>
                  </w:r>
                  <w:r>
                    <w:rPr>
                      <w:rFonts w:cstheme="minorHAnsi"/>
                    </w:rPr>
                    <w:t>emporising</w:t>
                  </w:r>
                  <w:r w:rsidR="00943936">
                    <w:rPr>
                      <w:rFonts w:cstheme="minorHAnsi"/>
                    </w:rPr>
                    <w:t xml:space="preserve"> d</w:t>
                  </w:r>
                  <w:r>
                    <w:rPr>
                      <w:rFonts w:cstheme="minorHAnsi"/>
                    </w:rPr>
                    <w:t>rug (</w:t>
                  </w:r>
                  <w:r w:rsidR="009A23A1">
                    <w:rPr>
                      <w:rFonts w:cstheme="minorHAnsi"/>
                    </w:rPr>
                    <w:t>Box C) if problem not resolving.</w:t>
                  </w:r>
                </w:p>
              </w:txbxContent>
            </v:textbox>
          </v:shape>
        </w:pict>
      </w:r>
    </w:p>
    <w:p w:rsidR="00042F42" w:rsidRDefault="00042F42"/>
    <w:tbl>
      <w:tblPr>
        <w:tblStyle w:val="LightList-Accent6"/>
        <w:tblpPr w:leftFromText="180" w:rightFromText="180" w:vertAnchor="text" w:horzAnchor="margin" w:tblpXSpec="right" w:tblpY="-624"/>
        <w:tblW w:w="0" w:type="auto"/>
        <w:tblLook w:val="04A0"/>
      </w:tblPr>
      <w:tblGrid>
        <w:gridCol w:w="6406"/>
      </w:tblGrid>
      <w:tr w:rsidR="00466ADD" w:rsidTr="0002182D">
        <w:trPr>
          <w:cnfStyle w:val="100000000000"/>
        </w:trPr>
        <w:tc>
          <w:tcPr>
            <w:cnfStyle w:val="001000000000"/>
            <w:tcW w:w="6406" w:type="dxa"/>
          </w:tcPr>
          <w:p w:rsidR="00466ADD" w:rsidRDefault="00472AAD" w:rsidP="0002182D">
            <w:r>
              <w:t xml:space="preserve">Box A: </w:t>
            </w:r>
            <w:r w:rsidR="00466ADD">
              <w:t>CRITICAL CHANGES</w:t>
            </w:r>
          </w:p>
        </w:tc>
      </w:tr>
      <w:tr w:rsidR="00466ADD" w:rsidTr="0002182D">
        <w:trPr>
          <w:cnfStyle w:val="000000100000"/>
        </w:trPr>
        <w:tc>
          <w:tcPr>
            <w:cnfStyle w:val="001000000000"/>
            <w:tcW w:w="6406" w:type="dxa"/>
          </w:tcPr>
          <w:p w:rsidR="00466ADD" w:rsidRPr="00466ADD" w:rsidRDefault="00455174" w:rsidP="00CB73E4">
            <w:r w:rsidRPr="00466ADD">
              <w:rPr>
                <w:b w:val="0"/>
              </w:rPr>
              <w:t xml:space="preserve">If </w:t>
            </w:r>
            <w:r>
              <w:rPr>
                <w:b w:val="0"/>
              </w:rPr>
              <w:t>problem worsens significantly or a new problem arises</w:t>
            </w:r>
            <w:r w:rsidRPr="00466ADD">
              <w:rPr>
                <w:b w:val="0"/>
              </w:rPr>
              <w:t xml:space="preserve">, call for </w:t>
            </w:r>
            <w:r w:rsidRPr="00266D8E">
              <w:t>help</w:t>
            </w:r>
            <w:r w:rsidRPr="00466ADD">
              <w:rPr>
                <w:b w:val="0"/>
              </w:rPr>
              <w:t xml:space="preserve"> and go back to</w:t>
            </w:r>
            <w:r w:rsidR="006C40D8" w:rsidRPr="007C1354">
              <w:t xml:space="preserve"> </w:t>
            </w:r>
            <w:r w:rsidR="00CB73E4" w:rsidRPr="00CB73E4">
              <w:rPr>
                <w:color w:val="FFFFFF" w:themeColor="background1"/>
                <w:highlight w:val="black"/>
              </w:rPr>
              <w:t>START</w:t>
            </w:r>
            <w:r w:rsidRPr="00466ADD">
              <w:rPr>
                <w:rFonts w:cstheme="minorHAnsi"/>
                <w:color w:val="FFFFFF" w:themeColor="background1"/>
              </w:rPr>
              <w:t xml:space="preserve"> </w:t>
            </w:r>
            <w:r w:rsidRPr="00466ADD">
              <w:rPr>
                <w:rFonts w:cstheme="minorHAnsi"/>
                <w:b w:val="0"/>
              </w:rPr>
              <w:t xml:space="preserve">of </w:t>
            </w:r>
            <w:r w:rsidR="00386222">
              <w:t>1-1</w:t>
            </w:r>
            <w:r w:rsidR="006F06DF" w:rsidRPr="007C1354">
              <w:t xml:space="preserve"> </w:t>
            </w:r>
            <w:r w:rsidRPr="007C1354">
              <w:rPr>
                <w:rFonts w:cstheme="minorHAnsi"/>
              </w:rPr>
              <w:t>Key Basic Plan</w:t>
            </w:r>
            <w:r w:rsidR="009A23A1">
              <w:rPr>
                <w:rFonts w:cstheme="minorHAnsi"/>
              </w:rPr>
              <w:t>.</w:t>
            </w:r>
          </w:p>
        </w:tc>
      </w:tr>
    </w:tbl>
    <w:tbl>
      <w:tblPr>
        <w:tblStyle w:val="LightList-Accent4"/>
        <w:tblpPr w:leftFromText="180" w:rightFromText="180" w:vertAnchor="text" w:horzAnchor="margin" w:tblpXSpec="right" w:tblpY="338"/>
        <w:tblW w:w="0" w:type="auto"/>
        <w:tblLook w:val="04A0"/>
      </w:tblPr>
      <w:tblGrid>
        <w:gridCol w:w="6406"/>
      </w:tblGrid>
      <w:tr w:rsidR="000D4D53" w:rsidTr="0002182D">
        <w:trPr>
          <w:cnfStyle w:val="100000000000"/>
        </w:trPr>
        <w:tc>
          <w:tcPr>
            <w:cnfStyle w:val="001000000000"/>
            <w:tcW w:w="6406" w:type="dxa"/>
          </w:tcPr>
          <w:p w:rsidR="000D4D53" w:rsidRDefault="000D4D53" w:rsidP="000D4D53">
            <w:r>
              <w:t>BOX B: POTENTIAL UNDERLYING PROBLEMS</w:t>
            </w:r>
          </w:p>
        </w:tc>
      </w:tr>
      <w:tr w:rsidR="000D4D53" w:rsidTr="0002182D">
        <w:trPr>
          <w:cnfStyle w:val="000000100000"/>
        </w:trPr>
        <w:tc>
          <w:tcPr>
            <w:cnfStyle w:val="001000000000"/>
            <w:tcW w:w="6406" w:type="dxa"/>
          </w:tcPr>
          <w:p w:rsidR="000D4D53" w:rsidRPr="009A23A1" w:rsidRDefault="000D4D53" w:rsidP="009A23A1">
            <w:pPr>
              <w:pStyle w:val="ListParagraph"/>
              <w:numPr>
                <w:ilvl w:val="0"/>
                <w:numId w:val="17"/>
              </w:numPr>
              <w:ind w:left="360"/>
              <w:rPr>
                <w:b w:val="0"/>
              </w:rPr>
            </w:pPr>
            <w:r w:rsidRPr="009A23A1">
              <w:rPr>
                <w:b w:val="0"/>
              </w:rPr>
              <w:t xml:space="preserve">Inadequate anaesthesia / analgesia </w:t>
            </w:r>
            <w:r w:rsidR="0002182D" w:rsidRPr="009A23A1">
              <w:rPr>
                <w:b w:val="0"/>
              </w:rPr>
              <w:t>(</w:t>
            </w:r>
            <w:proofErr w:type="spellStart"/>
            <w:r w:rsidR="0002182D" w:rsidRPr="009A23A1">
              <w:rPr>
                <w:b w:val="0"/>
              </w:rPr>
              <w:t>alfentanil</w:t>
            </w:r>
            <w:proofErr w:type="spellEnd"/>
            <w:r w:rsidR="0002182D" w:rsidRPr="009A23A1">
              <w:rPr>
                <w:b w:val="0"/>
              </w:rPr>
              <w:t xml:space="preserve"> can be diagnostic – see </w:t>
            </w:r>
            <w:r w:rsidRPr="009A23A1">
              <w:rPr>
                <w:b w:val="0"/>
              </w:rPr>
              <w:t>Bo</w:t>
            </w:r>
            <w:r w:rsidR="0002182D" w:rsidRPr="009A23A1">
              <w:rPr>
                <w:b w:val="0"/>
              </w:rPr>
              <w:t>x</w:t>
            </w:r>
            <w:r w:rsidRPr="009A23A1">
              <w:rPr>
                <w:b w:val="0"/>
              </w:rPr>
              <w:t xml:space="preserve"> C</w:t>
            </w:r>
            <w:r w:rsidR="0002182D" w:rsidRPr="009A23A1">
              <w:rPr>
                <w:b w:val="0"/>
              </w:rPr>
              <w:t xml:space="preserve"> for dose</w:t>
            </w:r>
            <w:r w:rsidRPr="009A23A1">
              <w:rPr>
                <w:b w:val="0"/>
              </w:rPr>
              <w:t>)</w:t>
            </w:r>
          </w:p>
          <w:p w:rsidR="000D4D53" w:rsidRPr="009A23A1" w:rsidRDefault="000D4D53" w:rsidP="009A23A1">
            <w:pPr>
              <w:pStyle w:val="ListParagraph"/>
              <w:numPr>
                <w:ilvl w:val="0"/>
                <w:numId w:val="17"/>
              </w:numPr>
              <w:ind w:left="360"/>
              <w:rPr>
                <w:b w:val="0"/>
              </w:rPr>
            </w:pPr>
            <w:r w:rsidRPr="009A23A1">
              <w:rPr>
                <w:b w:val="0"/>
              </w:rPr>
              <w:t>Inadequate neuromuscular blockade</w:t>
            </w:r>
          </w:p>
          <w:p w:rsidR="000D4D53" w:rsidRPr="009A23A1" w:rsidRDefault="000D4D53" w:rsidP="009A23A1">
            <w:pPr>
              <w:pStyle w:val="ListParagraph"/>
              <w:numPr>
                <w:ilvl w:val="0"/>
                <w:numId w:val="17"/>
              </w:numPr>
              <w:ind w:left="360"/>
              <w:rPr>
                <w:b w:val="0"/>
              </w:rPr>
            </w:pPr>
            <w:r w:rsidRPr="009A23A1">
              <w:rPr>
                <w:b w:val="0"/>
              </w:rPr>
              <w:t>Consider whether you could have made a drug error</w:t>
            </w:r>
          </w:p>
          <w:p w:rsidR="000D4D53" w:rsidRPr="009A23A1" w:rsidRDefault="000D4D53" w:rsidP="009A23A1">
            <w:pPr>
              <w:pStyle w:val="ListParagraph"/>
              <w:numPr>
                <w:ilvl w:val="0"/>
                <w:numId w:val="17"/>
              </w:numPr>
              <w:ind w:left="360"/>
              <w:rPr>
                <w:b w:val="0"/>
              </w:rPr>
            </w:pPr>
            <w:r w:rsidRPr="009A23A1">
              <w:rPr>
                <w:b w:val="0"/>
              </w:rPr>
              <w:t>Omission of usual antihypertensives</w:t>
            </w:r>
          </w:p>
          <w:p w:rsidR="000D4D53" w:rsidRPr="009A23A1" w:rsidRDefault="000D4D53" w:rsidP="009A23A1">
            <w:pPr>
              <w:pStyle w:val="ListParagraph"/>
              <w:numPr>
                <w:ilvl w:val="0"/>
                <w:numId w:val="17"/>
              </w:numPr>
              <w:ind w:left="360"/>
              <w:rPr>
                <w:b w:val="0"/>
              </w:rPr>
            </w:pPr>
            <w:r w:rsidRPr="009A23A1">
              <w:rPr>
                <w:b w:val="0"/>
              </w:rPr>
              <w:t>Distended bladder</w:t>
            </w:r>
          </w:p>
          <w:p w:rsidR="000D4D53" w:rsidRPr="009A23A1" w:rsidRDefault="000D4D53" w:rsidP="009A23A1">
            <w:pPr>
              <w:pStyle w:val="ListParagraph"/>
              <w:numPr>
                <w:ilvl w:val="0"/>
                <w:numId w:val="17"/>
              </w:numPr>
              <w:ind w:left="360"/>
              <w:rPr>
                <w:b w:val="0"/>
              </w:rPr>
            </w:pPr>
            <w:r w:rsidRPr="009A23A1">
              <w:rPr>
                <w:b w:val="0"/>
              </w:rPr>
              <w:t>Vasopressor administered by surgeon</w:t>
            </w:r>
          </w:p>
          <w:p w:rsidR="000D4D53" w:rsidRPr="009A23A1" w:rsidRDefault="000D4D53" w:rsidP="009A23A1">
            <w:pPr>
              <w:pStyle w:val="ListParagraph"/>
              <w:numPr>
                <w:ilvl w:val="0"/>
                <w:numId w:val="17"/>
              </w:numPr>
              <w:ind w:left="360"/>
              <w:rPr>
                <w:b w:val="0"/>
              </w:rPr>
            </w:pPr>
            <w:r w:rsidRPr="009A23A1">
              <w:rPr>
                <w:b w:val="0"/>
              </w:rPr>
              <w:t>Surgical tourniquet</w:t>
            </w:r>
          </w:p>
          <w:p w:rsidR="000D4D53" w:rsidRPr="009A23A1" w:rsidRDefault="000D4D53" w:rsidP="009A23A1">
            <w:pPr>
              <w:pStyle w:val="ListParagraph"/>
              <w:numPr>
                <w:ilvl w:val="0"/>
                <w:numId w:val="17"/>
              </w:numPr>
              <w:ind w:left="360"/>
              <w:rPr>
                <w:b w:val="0"/>
              </w:rPr>
            </w:pPr>
            <w:r w:rsidRPr="009A23A1">
              <w:rPr>
                <w:b w:val="0"/>
              </w:rPr>
              <w:t>Excess fluid (over-administration / overload / TURP syndrome)</w:t>
            </w:r>
          </w:p>
          <w:p w:rsidR="000D4D53" w:rsidRPr="009A23A1" w:rsidRDefault="00CB73E4" w:rsidP="009A23A1">
            <w:pPr>
              <w:pStyle w:val="ListParagraph"/>
              <w:numPr>
                <w:ilvl w:val="0"/>
                <w:numId w:val="17"/>
              </w:numPr>
              <w:ind w:left="360"/>
            </w:pPr>
            <w:r>
              <w:rPr>
                <w:b w:val="0"/>
              </w:rPr>
              <w:t xml:space="preserve">Medical causes:  drug interaction, renal failure, raised intracranial pressure, seizure, thyrotoxicosis, </w:t>
            </w:r>
            <w:proofErr w:type="spellStart"/>
            <w:r>
              <w:rPr>
                <w:b w:val="0"/>
              </w:rPr>
              <w:t>p</w:t>
            </w:r>
            <w:r w:rsidR="000D4D53" w:rsidRPr="009A23A1">
              <w:rPr>
                <w:b w:val="0"/>
              </w:rPr>
              <w:t>haeochromocytoma</w:t>
            </w:r>
            <w:proofErr w:type="spellEnd"/>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17"/>
        <w:tblW w:w="6406" w:type="dxa"/>
        <w:tblLook w:val="04A0"/>
      </w:tblPr>
      <w:tblGrid>
        <w:gridCol w:w="6406"/>
      </w:tblGrid>
      <w:tr w:rsidR="009A23A1" w:rsidRPr="004555AC" w:rsidTr="009A23A1">
        <w:trPr>
          <w:cnfStyle w:val="100000000000"/>
          <w:trHeight w:val="268"/>
        </w:trPr>
        <w:tc>
          <w:tcPr>
            <w:cnfStyle w:val="001000000000"/>
            <w:tcW w:w="6406" w:type="dxa"/>
          </w:tcPr>
          <w:p w:rsidR="009A23A1" w:rsidRPr="004555AC" w:rsidRDefault="009A23A1" w:rsidP="009A23A1">
            <w:pPr>
              <w:rPr>
                <w:sz w:val="20"/>
                <w:szCs w:val="20"/>
              </w:rPr>
            </w:pPr>
            <w:r>
              <w:rPr>
                <w:szCs w:val="20"/>
              </w:rPr>
              <w:t>BOX C: TEMPORISING DRUGS FOR HYPERTENSION</w:t>
            </w:r>
          </w:p>
        </w:tc>
      </w:tr>
      <w:tr w:rsidR="009A23A1" w:rsidRPr="004555AC" w:rsidTr="009A23A1">
        <w:trPr>
          <w:cnfStyle w:val="000000100000"/>
          <w:trHeight w:val="2246"/>
        </w:trPr>
        <w:tc>
          <w:tcPr>
            <w:cnfStyle w:val="001000000000"/>
            <w:tcW w:w="6406" w:type="dxa"/>
            <w:shd w:val="clear" w:color="auto" w:fill="FFFFFF" w:themeFill="background1"/>
          </w:tcPr>
          <w:p w:rsidR="009A23A1" w:rsidRPr="009A23A1" w:rsidRDefault="009A23A1" w:rsidP="009A23A1">
            <w:pPr>
              <w:pStyle w:val="ListParagraph"/>
              <w:numPr>
                <w:ilvl w:val="0"/>
                <w:numId w:val="18"/>
              </w:numPr>
              <w:ind w:left="360"/>
              <w:rPr>
                <w:b w:val="0"/>
                <w:szCs w:val="20"/>
              </w:rPr>
            </w:pPr>
            <w:proofErr w:type="spellStart"/>
            <w:r w:rsidRPr="009A23A1">
              <w:rPr>
                <w:b w:val="0"/>
                <w:szCs w:val="20"/>
              </w:rPr>
              <w:t>Alfentanil</w:t>
            </w:r>
            <w:proofErr w:type="spellEnd"/>
            <w:r w:rsidRPr="009A23A1">
              <w:rPr>
                <w:b w:val="0"/>
                <w:szCs w:val="20"/>
              </w:rPr>
              <w:t xml:space="preserve"> 10 </w:t>
            </w:r>
            <w:r w:rsidRPr="009A23A1">
              <w:rPr>
                <w:rFonts w:cstheme="minorHAnsi"/>
                <w:b w:val="0"/>
                <w:szCs w:val="20"/>
              </w:rPr>
              <w:t>µ</w:t>
            </w:r>
            <w:r w:rsidRPr="009A23A1">
              <w:rPr>
                <w:b w:val="0"/>
                <w:szCs w:val="20"/>
              </w:rPr>
              <w:t>g.kg</w:t>
            </w:r>
            <w:r w:rsidRPr="009A23A1">
              <w:rPr>
                <w:b w:val="0"/>
                <w:szCs w:val="20"/>
                <w:vertAlign w:val="superscript"/>
              </w:rPr>
              <w:t xml:space="preserve">-1 </w:t>
            </w:r>
            <w:r w:rsidRPr="009A23A1">
              <w:rPr>
                <w:b w:val="0"/>
                <w:szCs w:val="20"/>
              </w:rPr>
              <w:t>(adult 0.5-1 mg)</w:t>
            </w:r>
          </w:p>
          <w:p w:rsidR="009A23A1" w:rsidRDefault="009A23A1" w:rsidP="009A23A1">
            <w:pPr>
              <w:pStyle w:val="ListParagraph"/>
              <w:numPr>
                <w:ilvl w:val="0"/>
                <w:numId w:val="18"/>
              </w:numPr>
              <w:ind w:left="360"/>
              <w:rPr>
                <w:b w:val="0"/>
                <w:szCs w:val="20"/>
              </w:rPr>
            </w:pPr>
            <w:r w:rsidRPr="009A23A1">
              <w:rPr>
                <w:b w:val="0"/>
                <w:szCs w:val="20"/>
              </w:rPr>
              <w:t>Propofol 1 mg.kg</w:t>
            </w:r>
            <w:r w:rsidRPr="009A23A1">
              <w:rPr>
                <w:b w:val="0"/>
                <w:szCs w:val="20"/>
                <w:vertAlign w:val="superscript"/>
              </w:rPr>
              <w:t xml:space="preserve">-1 </w:t>
            </w:r>
            <w:r w:rsidR="00943936">
              <w:rPr>
                <w:b w:val="0"/>
                <w:szCs w:val="20"/>
              </w:rPr>
              <w:t>(adult 50-100</w:t>
            </w:r>
            <w:r w:rsidRPr="009A23A1">
              <w:rPr>
                <w:b w:val="0"/>
                <w:szCs w:val="20"/>
              </w:rPr>
              <w:t xml:space="preserve"> mg)</w:t>
            </w:r>
          </w:p>
          <w:p w:rsidR="009A23A1" w:rsidRPr="009A23A1" w:rsidRDefault="009A23A1" w:rsidP="009A23A1">
            <w:pPr>
              <w:pStyle w:val="ListParagraph"/>
              <w:ind w:left="360"/>
              <w:rPr>
                <w:b w:val="0"/>
                <w:sz w:val="10"/>
                <w:szCs w:val="20"/>
              </w:rPr>
            </w:pPr>
          </w:p>
          <w:p w:rsidR="009A23A1" w:rsidRPr="009A23A1" w:rsidRDefault="009A23A1" w:rsidP="009A23A1">
            <w:pPr>
              <w:pStyle w:val="ListParagraph"/>
              <w:numPr>
                <w:ilvl w:val="0"/>
                <w:numId w:val="18"/>
              </w:numPr>
              <w:ind w:left="360"/>
              <w:rPr>
                <w:b w:val="0"/>
                <w:szCs w:val="20"/>
              </w:rPr>
            </w:pPr>
            <w:proofErr w:type="spellStart"/>
            <w:r w:rsidRPr="009A23A1">
              <w:rPr>
                <w:b w:val="0"/>
                <w:szCs w:val="20"/>
              </w:rPr>
              <w:t>Labetolol</w:t>
            </w:r>
            <w:proofErr w:type="spellEnd"/>
            <w:r w:rsidRPr="009A23A1">
              <w:rPr>
                <w:b w:val="0"/>
                <w:szCs w:val="20"/>
              </w:rPr>
              <w:t xml:space="preserve"> 0.5 mg.kg</w:t>
            </w:r>
            <w:r w:rsidRPr="009A23A1">
              <w:rPr>
                <w:b w:val="0"/>
                <w:szCs w:val="20"/>
                <w:vertAlign w:val="superscript"/>
              </w:rPr>
              <w:t>-1</w:t>
            </w:r>
            <w:r w:rsidRPr="009A23A1">
              <w:rPr>
                <w:b w:val="0"/>
                <w:szCs w:val="20"/>
              </w:rPr>
              <w:t xml:space="preserve"> (adult 25-50mg). Repeat when necessary</w:t>
            </w:r>
            <w:r>
              <w:rPr>
                <w:b w:val="0"/>
                <w:szCs w:val="20"/>
              </w:rPr>
              <w:t>.</w:t>
            </w:r>
          </w:p>
          <w:p w:rsidR="009A23A1" w:rsidRDefault="009A23A1" w:rsidP="009A23A1">
            <w:pPr>
              <w:pStyle w:val="ListParagraph"/>
              <w:numPr>
                <w:ilvl w:val="0"/>
                <w:numId w:val="18"/>
              </w:numPr>
              <w:ind w:left="360"/>
              <w:rPr>
                <w:b w:val="0"/>
                <w:szCs w:val="20"/>
              </w:rPr>
            </w:pPr>
            <w:proofErr w:type="spellStart"/>
            <w:r w:rsidRPr="009A23A1">
              <w:rPr>
                <w:b w:val="0"/>
                <w:szCs w:val="20"/>
              </w:rPr>
              <w:t>Esmolol</w:t>
            </w:r>
            <w:proofErr w:type="spellEnd"/>
            <w:r w:rsidRPr="009A23A1">
              <w:rPr>
                <w:b w:val="0"/>
                <w:szCs w:val="20"/>
              </w:rPr>
              <w:t xml:space="preserve"> 0.5 mg.kg</w:t>
            </w:r>
            <w:r w:rsidRPr="009A23A1">
              <w:rPr>
                <w:b w:val="0"/>
                <w:szCs w:val="20"/>
                <w:vertAlign w:val="superscript"/>
              </w:rPr>
              <w:t>-1</w:t>
            </w:r>
            <w:r w:rsidRPr="009A23A1">
              <w:rPr>
                <w:b w:val="0"/>
                <w:szCs w:val="20"/>
              </w:rPr>
              <w:t xml:space="preserve"> (adult 25-50mg) Follow with infusion</w:t>
            </w:r>
            <w:r>
              <w:rPr>
                <w:b w:val="0"/>
                <w:szCs w:val="20"/>
              </w:rPr>
              <w:t>.</w:t>
            </w:r>
          </w:p>
          <w:p w:rsidR="009A23A1" w:rsidRPr="009A23A1" w:rsidRDefault="009A23A1" w:rsidP="009A23A1">
            <w:pPr>
              <w:pStyle w:val="ListParagraph"/>
              <w:ind w:left="360"/>
              <w:rPr>
                <w:b w:val="0"/>
                <w:sz w:val="10"/>
                <w:szCs w:val="20"/>
              </w:rPr>
            </w:pPr>
          </w:p>
          <w:p w:rsidR="009A23A1" w:rsidRPr="009A23A1" w:rsidRDefault="009A23A1" w:rsidP="009A23A1">
            <w:pPr>
              <w:pStyle w:val="ListParagraph"/>
              <w:numPr>
                <w:ilvl w:val="0"/>
                <w:numId w:val="18"/>
              </w:numPr>
              <w:ind w:left="360"/>
              <w:rPr>
                <w:b w:val="0"/>
                <w:szCs w:val="20"/>
              </w:rPr>
            </w:pPr>
            <w:r w:rsidRPr="009A23A1">
              <w:rPr>
                <w:b w:val="0"/>
                <w:szCs w:val="20"/>
              </w:rPr>
              <w:t>Hydralazine 0.1 mg.kg</w:t>
            </w:r>
            <w:r w:rsidRPr="009A23A1">
              <w:rPr>
                <w:b w:val="0"/>
                <w:szCs w:val="20"/>
                <w:vertAlign w:val="superscript"/>
              </w:rPr>
              <w:t>-1</w:t>
            </w:r>
            <w:r w:rsidRPr="009A23A1">
              <w:rPr>
                <w:b w:val="0"/>
                <w:szCs w:val="20"/>
              </w:rPr>
              <w:t xml:space="preserve"> (adult 5-10mg)</w:t>
            </w:r>
          </w:p>
          <w:p w:rsidR="009A23A1" w:rsidRPr="009A23A1" w:rsidRDefault="00CB73E4" w:rsidP="009A23A1">
            <w:pPr>
              <w:pStyle w:val="ListParagraph"/>
              <w:numPr>
                <w:ilvl w:val="0"/>
                <w:numId w:val="18"/>
              </w:numPr>
              <w:ind w:left="360"/>
              <w:rPr>
                <w:sz w:val="20"/>
                <w:szCs w:val="20"/>
              </w:rPr>
            </w:pPr>
            <w:r>
              <w:rPr>
                <w:b w:val="0"/>
                <w:szCs w:val="20"/>
              </w:rPr>
              <w:t xml:space="preserve">Glyceryl </w:t>
            </w:r>
            <w:proofErr w:type="spellStart"/>
            <w:r>
              <w:rPr>
                <w:b w:val="0"/>
                <w:szCs w:val="20"/>
              </w:rPr>
              <w:t>trinitrate</w:t>
            </w:r>
            <w:proofErr w:type="spellEnd"/>
            <w:r w:rsidR="009A23A1" w:rsidRPr="009A23A1">
              <w:rPr>
                <w:b w:val="0"/>
                <w:szCs w:val="20"/>
              </w:rPr>
              <w:t xml:space="preserve"> 0.5-5 </w:t>
            </w:r>
            <w:r w:rsidR="009A23A1" w:rsidRPr="009A23A1">
              <w:rPr>
                <w:rFonts w:cstheme="minorHAnsi"/>
                <w:b w:val="0"/>
                <w:szCs w:val="20"/>
              </w:rPr>
              <w:t>µ</w:t>
            </w:r>
            <w:r w:rsidR="009A23A1" w:rsidRPr="009A23A1">
              <w:rPr>
                <w:b w:val="0"/>
                <w:szCs w:val="20"/>
              </w:rPr>
              <w:t>g.kg.min</w:t>
            </w:r>
            <w:r w:rsidR="009A23A1" w:rsidRPr="009A23A1">
              <w:rPr>
                <w:b w:val="0"/>
                <w:szCs w:val="20"/>
                <w:vertAlign w:val="superscript"/>
              </w:rPr>
              <w:t>-1</w:t>
            </w:r>
            <w:r w:rsidR="009A23A1" w:rsidRPr="009A23A1">
              <w:rPr>
                <w:b w:val="0"/>
                <w:szCs w:val="20"/>
              </w:rPr>
              <w:t xml:space="preserve"> </w:t>
            </w:r>
            <w:r w:rsidR="009A23A1">
              <w:rPr>
                <w:b w:val="0"/>
                <w:szCs w:val="20"/>
              </w:rPr>
              <w:t>i</w:t>
            </w:r>
            <w:r w:rsidR="009A23A1" w:rsidRPr="009A23A1">
              <w:rPr>
                <w:b w:val="0"/>
                <w:szCs w:val="20"/>
              </w:rPr>
              <w:t>nfusion (adult 2-20 ml.hr</w:t>
            </w:r>
            <w:r w:rsidR="009A23A1" w:rsidRPr="009A23A1">
              <w:rPr>
                <w:b w:val="0"/>
                <w:szCs w:val="20"/>
                <w:vertAlign w:val="superscript"/>
              </w:rPr>
              <w:t>-1</w:t>
            </w:r>
            <w:r w:rsidR="009A23A1" w:rsidRPr="009A23A1">
              <w:rPr>
                <w:b w:val="0"/>
                <w:szCs w:val="20"/>
              </w:rPr>
              <w:t xml:space="preserve"> of 1 mg.ml</w:t>
            </w:r>
            <w:r w:rsidR="009A23A1" w:rsidRPr="009A23A1">
              <w:rPr>
                <w:b w:val="0"/>
                <w:szCs w:val="20"/>
                <w:vertAlign w:val="superscript"/>
              </w:rPr>
              <w:t>-1</w:t>
            </w:r>
            <w:r w:rsidR="009A23A1" w:rsidRPr="009A23A1">
              <w:rPr>
                <w:b w:val="0"/>
                <w:szCs w:val="20"/>
              </w:rPr>
              <w:t xml:space="preserve"> solution)</w:t>
            </w:r>
          </w:p>
        </w:tc>
      </w:tr>
    </w:tbl>
    <w:p w:rsidR="00042F42" w:rsidRPr="00042F42" w:rsidRDefault="00042F42" w:rsidP="00042F42"/>
    <w:p w:rsidR="00042F42" w:rsidRPr="00042F42" w:rsidRDefault="00042F42" w:rsidP="00042F42"/>
    <w:p w:rsidR="00042F42" w:rsidRDefault="00042F42" w:rsidP="00042F42"/>
    <w:p w:rsidR="00CD2C49" w:rsidRPr="00042F42" w:rsidRDefault="00CD2C49" w:rsidP="00042F42"/>
    <w:p w:rsidR="00042F42" w:rsidRPr="0059108B" w:rsidRDefault="00042F42" w:rsidP="00042F42"/>
    <w:p w:rsidR="00042F42" w:rsidRPr="0059108B" w:rsidRDefault="00DE5E80" w:rsidP="00042F42">
      <w:r w:rsidRPr="00DE5E80">
        <w:rPr>
          <w:rFonts w:ascii="Times New Roman" w:eastAsia="Calibri" w:hAnsi="Times New Roman" w:cs="Times New Roman"/>
          <w:noProof/>
          <w:sz w:val="24"/>
          <w:szCs w:val="24"/>
          <w:lang w:eastAsia="en-GB"/>
        </w:rPr>
        <w:pict>
          <v:shape id="Text Box 3" o:spid="_x0000_s1027" type="#_x0000_t202" style="position:absolute;margin-left:9.45pt;margin-top:58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" filled="f" stroked="f">
            <v:textbox>
              <w:txbxContent>
                <w:p w:rsidR="004A1353" w:rsidRDefault="00B547E4" w:rsidP="004A1353">
                  <w:pPr>
                    <w:spacing w:after="0"/>
                    <w:rPr>
                      <w:b/>
                      <w:bCs/>
                      <w:sz w:val="16"/>
                      <w:szCs w:val="16"/>
                    </w:rPr>
                  </w:pPr>
                  <w:r>
                    <w:rPr>
                      <w:bCs/>
                      <w:sz w:val="16"/>
                      <w:szCs w:val="16"/>
                    </w:rPr>
                    <w:t xml:space="preserve">The Association of Anaesthetists of Great Britain &amp; Ireland </w:t>
                  </w:r>
                  <w:r>
                    <w:rPr>
                      <w:bCs/>
                      <w:sz w:val="16"/>
                      <w:szCs w:val="16"/>
                    </w:rPr>
                    <w:t>201</w:t>
                  </w:r>
                  <w:r w:rsidR="008A020E">
                    <w:rPr>
                      <w:bCs/>
                      <w:sz w:val="16"/>
                      <w:szCs w:val="16"/>
                    </w:rPr>
                    <w:t>8</w:t>
                  </w:r>
                  <w:r w:rsidR="004A1353">
                    <w:rPr>
                      <w:b/>
                      <w:bCs/>
                      <w:sz w:val="16"/>
                      <w:szCs w:val="16"/>
                    </w:rPr>
                    <w:t xml:space="preserve">. </w:t>
                  </w:r>
                  <w:r w:rsidR="004A1353">
                    <w:rPr>
                      <w:b/>
                      <w:bCs/>
                      <w:color w:val="0000FF"/>
                      <w:sz w:val="16"/>
                      <w:szCs w:val="16"/>
                      <w:u w:val="single"/>
                    </w:rPr>
                    <w:t>www.aagbi.org/qrh</w:t>
                  </w:r>
                  <w:r w:rsidR="004A1353">
                    <w:rPr>
                      <w:b/>
                      <w:bCs/>
                      <w:sz w:val="16"/>
                      <w:szCs w:val="16"/>
                    </w:rPr>
                    <w:t xml:space="preserve"> </w:t>
                  </w:r>
                  <w:r w:rsidR="004A1353">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38.5pt;margin-top:51.2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oDIAIAACE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" stroked="f">
            <v:textbox>
              <w:txbxContent>
                <w:p w:rsidR="001612AF" w:rsidRPr="00003411" w:rsidRDefault="00386222" w:rsidP="00003411">
                  <w:pPr>
                    <w:jc w:val="center"/>
                    <w:rPr>
                      <w:color w:val="808080" w:themeColor="background1" w:themeShade="80"/>
                      <w:sz w:val="48"/>
                    </w:rPr>
                  </w:pPr>
                  <w:r>
                    <w:rPr>
                      <w:color w:val="808080" w:themeColor="background1" w:themeShade="80"/>
                      <w:sz w:val="48"/>
                    </w:rPr>
                    <w:t>2-5</w:t>
                  </w:r>
                  <w:bookmarkStart w:id="0" w:name="_GoBack"/>
                  <w:bookmarkEnd w:id="0"/>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85" w:rsidRDefault="005E5085" w:rsidP="00725899">
      <w:pPr>
        <w:spacing w:after="0" w:line="240" w:lineRule="auto"/>
      </w:pPr>
      <w:r>
        <w:separator/>
      </w:r>
    </w:p>
  </w:endnote>
  <w:endnote w:type="continuationSeparator" w:id="0">
    <w:p w:rsidR="005E5085" w:rsidRDefault="005E5085"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85" w:rsidRDefault="005E5085" w:rsidP="00725899">
      <w:pPr>
        <w:spacing w:after="0" w:line="240" w:lineRule="auto"/>
      </w:pPr>
      <w:r>
        <w:separator/>
      </w:r>
    </w:p>
  </w:footnote>
  <w:footnote w:type="continuationSeparator" w:id="0">
    <w:p w:rsidR="005E5085" w:rsidRDefault="005E5085"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E206101"/>
    <w:multiLevelType w:val="hybridMultilevel"/>
    <w:tmpl w:val="CAFEE5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nsid w:val="3CB05A5F"/>
    <w:multiLevelType w:val="hybridMultilevel"/>
    <w:tmpl w:val="7F6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8F207D"/>
    <w:multiLevelType w:val="hybridMultilevel"/>
    <w:tmpl w:val="2BC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B4C08"/>
    <w:multiLevelType w:val="hybridMultilevel"/>
    <w:tmpl w:val="0B52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D5F90"/>
    <w:multiLevelType w:val="hybridMultilevel"/>
    <w:tmpl w:val="AE26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2"/>
  </w:num>
  <w:num w:numId="5">
    <w:abstractNumId w:val="10"/>
  </w:num>
  <w:num w:numId="6">
    <w:abstractNumId w:val="15"/>
  </w:num>
  <w:num w:numId="7">
    <w:abstractNumId w:val="8"/>
  </w:num>
  <w:num w:numId="8">
    <w:abstractNumId w:val="9"/>
  </w:num>
  <w:num w:numId="9">
    <w:abstractNumId w:val="0"/>
  </w:num>
  <w:num w:numId="10">
    <w:abstractNumId w:val="5"/>
  </w:num>
  <w:num w:numId="11">
    <w:abstractNumId w:val="11"/>
  </w:num>
  <w:num w:numId="12">
    <w:abstractNumId w:val="7"/>
  </w:num>
  <w:num w:numId="13">
    <w:abstractNumId w:val="3"/>
  </w:num>
  <w:num w:numId="14">
    <w:abstractNumId w:val="16"/>
  </w:num>
  <w:num w:numId="15">
    <w:abstractNumId w:val="1"/>
  </w:num>
  <w:num w:numId="16">
    <w:abstractNumId w:val="13"/>
  </w:num>
  <w:num w:numId="17">
    <w:abstractNumId w:val="6"/>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15E67"/>
    <w:rsid w:val="0002182D"/>
    <w:rsid w:val="00042F42"/>
    <w:rsid w:val="00084D86"/>
    <w:rsid w:val="000D4D53"/>
    <w:rsid w:val="0011605F"/>
    <w:rsid w:val="00136000"/>
    <w:rsid w:val="00152190"/>
    <w:rsid w:val="00152A7C"/>
    <w:rsid w:val="001533BC"/>
    <w:rsid w:val="00157DA6"/>
    <w:rsid w:val="001612AF"/>
    <w:rsid w:val="001631C3"/>
    <w:rsid w:val="001A66A9"/>
    <w:rsid w:val="001D548C"/>
    <w:rsid w:val="001F6867"/>
    <w:rsid w:val="00202C7B"/>
    <w:rsid w:val="00240BAC"/>
    <w:rsid w:val="00266D8E"/>
    <w:rsid w:val="00350200"/>
    <w:rsid w:val="00362A6F"/>
    <w:rsid w:val="00386222"/>
    <w:rsid w:val="003B2002"/>
    <w:rsid w:val="003D54AF"/>
    <w:rsid w:val="003E1D7F"/>
    <w:rsid w:val="004144DB"/>
    <w:rsid w:val="00455174"/>
    <w:rsid w:val="004555AC"/>
    <w:rsid w:val="00466ADD"/>
    <w:rsid w:val="00472AAD"/>
    <w:rsid w:val="004A1353"/>
    <w:rsid w:val="004B3E13"/>
    <w:rsid w:val="004D5A65"/>
    <w:rsid w:val="00504323"/>
    <w:rsid w:val="005234D5"/>
    <w:rsid w:val="005371D5"/>
    <w:rsid w:val="00542EF9"/>
    <w:rsid w:val="005771DC"/>
    <w:rsid w:val="00582073"/>
    <w:rsid w:val="0059108B"/>
    <w:rsid w:val="005C5391"/>
    <w:rsid w:val="005E5085"/>
    <w:rsid w:val="00624BB7"/>
    <w:rsid w:val="00646EFA"/>
    <w:rsid w:val="006730E0"/>
    <w:rsid w:val="006A64A6"/>
    <w:rsid w:val="006C13DF"/>
    <w:rsid w:val="006C40D8"/>
    <w:rsid w:val="006F06DF"/>
    <w:rsid w:val="006F6DD5"/>
    <w:rsid w:val="00725899"/>
    <w:rsid w:val="007268D5"/>
    <w:rsid w:val="00730C9D"/>
    <w:rsid w:val="0075617A"/>
    <w:rsid w:val="007A6C96"/>
    <w:rsid w:val="007B1D53"/>
    <w:rsid w:val="007B5439"/>
    <w:rsid w:val="007C1354"/>
    <w:rsid w:val="007C62B9"/>
    <w:rsid w:val="008440AF"/>
    <w:rsid w:val="00860451"/>
    <w:rsid w:val="00861DE4"/>
    <w:rsid w:val="00875979"/>
    <w:rsid w:val="008A020E"/>
    <w:rsid w:val="008A3FE0"/>
    <w:rsid w:val="008E3E90"/>
    <w:rsid w:val="00914F76"/>
    <w:rsid w:val="009266E8"/>
    <w:rsid w:val="0094292D"/>
    <w:rsid w:val="00943936"/>
    <w:rsid w:val="009A23A1"/>
    <w:rsid w:val="009B3731"/>
    <w:rsid w:val="009F547C"/>
    <w:rsid w:val="00A14329"/>
    <w:rsid w:val="00A92C08"/>
    <w:rsid w:val="00AE7A7A"/>
    <w:rsid w:val="00AF6436"/>
    <w:rsid w:val="00B00495"/>
    <w:rsid w:val="00B04A6C"/>
    <w:rsid w:val="00B25024"/>
    <w:rsid w:val="00B547E4"/>
    <w:rsid w:val="00B60E12"/>
    <w:rsid w:val="00B77DFC"/>
    <w:rsid w:val="00BA1959"/>
    <w:rsid w:val="00C75E94"/>
    <w:rsid w:val="00CB73E4"/>
    <w:rsid w:val="00CC2DA7"/>
    <w:rsid w:val="00CD2C49"/>
    <w:rsid w:val="00CD7668"/>
    <w:rsid w:val="00D32515"/>
    <w:rsid w:val="00D3300D"/>
    <w:rsid w:val="00D76466"/>
    <w:rsid w:val="00DB542B"/>
    <w:rsid w:val="00DC75BF"/>
    <w:rsid w:val="00DE0D0D"/>
    <w:rsid w:val="00DE5E80"/>
    <w:rsid w:val="00E25EDC"/>
    <w:rsid w:val="00E476C5"/>
    <w:rsid w:val="00E765FA"/>
    <w:rsid w:val="00E83433"/>
    <w:rsid w:val="00FF5AA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75617A"/>
    <w:rPr>
      <w:sz w:val="18"/>
      <w:szCs w:val="18"/>
    </w:rPr>
  </w:style>
  <w:style w:type="paragraph" w:styleId="CommentText">
    <w:name w:val="annotation text"/>
    <w:basedOn w:val="Normal"/>
    <w:link w:val="CommentTextChar"/>
    <w:uiPriority w:val="99"/>
    <w:semiHidden/>
    <w:unhideWhenUsed/>
    <w:rsid w:val="0075617A"/>
    <w:pPr>
      <w:spacing w:line="240" w:lineRule="auto"/>
    </w:pPr>
    <w:rPr>
      <w:sz w:val="24"/>
      <w:szCs w:val="24"/>
    </w:rPr>
  </w:style>
  <w:style w:type="character" w:customStyle="1" w:styleId="CommentTextChar">
    <w:name w:val="Comment Text Char"/>
    <w:basedOn w:val="DefaultParagraphFont"/>
    <w:link w:val="CommentText"/>
    <w:uiPriority w:val="99"/>
    <w:semiHidden/>
    <w:rsid w:val="0075617A"/>
    <w:rPr>
      <w:sz w:val="24"/>
      <w:szCs w:val="24"/>
    </w:rPr>
  </w:style>
  <w:style w:type="paragraph" w:styleId="CommentSubject">
    <w:name w:val="annotation subject"/>
    <w:basedOn w:val="CommentText"/>
    <w:next w:val="CommentText"/>
    <w:link w:val="CommentSubjectChar"/>
    <w:uiPriority w:val="99"/>
    <w:semiHidden/>
    <w:unhideWhenUsed/>
    <w:rsid w:val="0075617A"/>
    <w:rPr>
      <w:b/>
      <w:bCs/>
      <w:sz w:val="20"/>
      <w:szCs w:val="20"/>
    </w:rPr>
  </w:style>
  <w:style w:type="character" w:customStyle="1" w:styleId="CommentSubjectChar">
    <w:name w:val="Comment Subject Char"/>
    <w:basedOn w:val="CommentTextChar"/>
    <w:link w:val="CommentSubject"/>
    <w:uiPriority w:val="99"/>
    <w:semiHidden/>
    <w:rsid w:val="0075617A"/>
    <w:rPr>
      <w:b/>
      <w:bCs/>
      <w:sz w:val="20"/>
      <w:szCs w:val="20"/>
    </w:rPr>
  </w:style>
  <w:style w:type="character" w:styleId="Hyperlink">
    <w:name w:val="Hyperlink"/>
    <w:basedOn w:val="DefaultParagraphFont"/>
    <w:uiPriority w:val="99"/>
    <w:unhideWhenUsed/>
    <w:rsid w:val="000D4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75617A"/>
    <w:rPr>
      <w:sz w:val="18"/>
      <w:szCs w:val="18"/>
    </w:rPr>
  </w:style>
  <w:style w:type="paragraph" w:styleId="CommentText">
    <w:name w:val="annotation text"/>
    <w:basedOn w:val="Normal"/>
    <w:link w:val="CommentTextChar"/>
    <w:uiPriority w:val="99"/>
    <w:semiHidden/>
    <w:unhideWhenUsed/>
    <w:rsid w:val="0075617A"/>
    <w:pPr>
      <w:spacing w:line="240" w:lineRule="auto"/>
    </w:pPr>
    <w:rPr>
      <w:sz w:val="24"/>
      <w:szCs w:val="24"/>
    </w:rPr>
  </w:style>
  <w:style w:type="character" w:customStyle="1" w:styleId="CommentTextChar">
    <w:name w:val="Comment Text Char"/>
    <w:basedOn w:val="DefaultParagraphFont"/>
    <w:link w:val="CommentText"/>
    <w:uiPriority w:val="99"/>
    <w:semiHidden/>
    <w:rsid w:val="0075617A"/>
    <w:rPr>
      <w:sz w:val="24"/>
      <w:szCs w:val="24"/>
    </w:rPr>
  </w:style>
  <w:style w:type="paragraph" w:styleId="CommentSubject">
    <w:name w:val="annotation subject"/>
    <w:basedOn w:val="CommentText"/>
    <w:next w:val="CommentText"/>
    <w:link w:val="CommentSubjectChar"/>
    <w:uiPriority w:val="99"/>
    <w:semiHidden/>
    <w:unhideWhenUsed/>
    <w:rsid w:val="0075617A"/>
    <w:rPr>
      <w:b/>
      <w:bCs/>
      <w:sz w:val="20"/>
      <w:szCs w:val="20"/>
    </w:rPr>
  </w:style>
  <w:style w:type="character" w:customStyle="1" w:styleId="CommentSubjectChar">
    <w:name w:val="Comment Subject Char"/>
    <w:basedOn w:val="CommentTextChar"/>
    <w:link w:val="CommentSubject"/>
    <w:uiPriority w:val="99"/>
    <w:semiHidden/>
    <w:rsid w:val="0075617A"/>
    <w:rPr>
      <w:b/>
      <w:bCs/>
      <w:sz w:val="20"/>
      <w:szCs w:val="20"/>
    </w:rPr>
  </w:style>
  <w:style w:type="character" w:styleId="Hyperlink">
    <w:name w:val="Hyperlink"/>
    <w:basedOn w:val="DefaultParagraphFont"/>
    <w:uiPriority w:val="99"/>
    <w:unhideWhenUsed/>
    <w:rsid w:val="000D4D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3DD3-9D1D-4A20-879C-15D5661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203</Words>
  <Characters>1048</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34</cp:revision>
  <dcterms:created xsi:type="dcterms:W3CDTF">2015-08-13T11:35:00Z</dcterms:created>
  <dcterms:modified xsi:type="dcterms:W3CDTF">2018-01-24T14:21:00Z</dcterms:modified>
</cp:coreProperties>
</file>