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F2436D" w:rsidP="008E6F42">
            <w:r>
              <w:rPr>
                <w:color w:val="A6A6A6" w:themeColor="background1" w:themeShade="A6"/>
                <w:sz w:val="56"/>
              </w:rPr>
              <w:t>3-12</w:t>
            </w:r>
            <w:r w:rsidR="007B1D53" w:rsidRPr="007B1D53">
              <w:rPr>
                <w:color w:val="A6A6A6" w:themeColor="background1" w:themeShade="A6"/>
                <w:sz w:val="56"/>
              </w:rPr>
              <w:t xml:space="preserve"> </w:t>
            </w:r>
            <w:r w:rsidR="00090743">
              <w:rPr>
                <w:sz w:val="56"/>
              </w:rPr>
              <w:t>Cardiac i</w:t>
            </w:r>
            <w:r w:rsidR="008E6F42">
              <w:rPr>
                <w:sz w:val="56"/>
              </w:rPr>
              <w:t>schaemia</w:t>
            </w:r>
            <w:r w:rsidR="00B1616D">
              <w:rPr>
                <w:sz w:val="56"/>
              </w:rPr>
              <w:t xml:space="preserve">  </w:t>
            </w:r>
            <w:r w:rsidR="000B1798">
              <w:t>v.2</w:t>
            </w:r>
          </w:p>
        </w:tc>
      </w:tr>
      <w:tr w:rsidR="007B1D53" w:rsidTr="007B1D53">
        <w:tc>
          <w:tcPr>
            <w:tcW w:w="15614" w:type="dxa"/>
            <w:tcBorders>
              <w:top w:val="single" w:sz="4" w:space="0" w:color="auto"/>
              <w:bottom w:val="single" w:sz="4" w:space="0" w:color="auto"/>
            </w:tcBorders>
          </w:tcPr>
          <w:p w:rsidR="007B1D53" w:rsidRDefault="002A13AE" w:rsidP="007B1D53">
            <w:r>
              <w:t>If the patient is unconscious, signs of cardiac ischaemia primarily include:</w:t>
            </w:r>
          </w:p>
          <w:p w:rsidR="002A13AE" w:rsidRDefault="002A13AE" w:rsidP="002A13AE">
            <w:pPr>
              <w:pStyle w:val="ListParagraph"/>
              <w:numPr>
                <w:ilvl w:val="0"/>
                <w:numId w:val="9"/>
              </w:numPr>
            </w:pPr>
            <w:r>
              <w:t>ST elevation or depression</w:t>
            </w:r>
          </w:p>
          <w:p w:rsidR="002A13AE" w:rsidRDefault="002A13AE" w:rsidP="002A13AE">
            <w:pPr>
              <w:pStyle w:val="ListParagraph"/>
              <w:numPr>
                <w:ilvl w:val="0"/>
                <w:numId w:val="9"/>
              </w:numPr>
            </w:pPr>
            <w:r>
              <w:t>T wave flattening or inversion</w:t>
            </w:r>
          </w:p>
          <w:p w:rsidR="002A13AE" w:rsidRDefault="002A13AE" w:rsidP="002A13AE">
            <w:pPr>
              <w:pStyle w:val="ListParagraph"/>
              <w:numPr>
                <w:ilvl w:val="0"/>
                <w:numId w:val="9"/>
              </w:numPr>
            </w:pPr>
            <w:r>
              <w:t>Arr</w:t>
            </w:r>
            <w:r w:rsidR="00870D4F">
              <w:t>h</w:t>
            </w:r>
            <w:r>
              <w:t>ythmias, particular</w:t>
            </w:r>
            <w:r w:rsidR="00B70531">
              <w:t>ly</w:t>
            </w:r>
            <w:r>
              <w:t xml:space="preserve"> ventricular</w:t>
            </w:r>
          </w:p>
          <w:p w:rsidR="002A13AE" w:rsidRDefault="002A13AE" w:rsidP="002A13AE">
            <w:pPr>
              <w:pStyle w:val="ListParagraph"/>
              <w:numPr>
                <w:ilvl w:val="0"/>
                <w:numId w:val="9"/>
              </w:numPr>
            </w:pPr>
            <w:r>
              <w:t xml:space="preserve">Other haemodynamic abnormalities (hypo- or hypertension, </w:t>
            </w:r>
            <w:proofErr w:type="spellStart"/>
            <w:r>
              <w:t>tachy</w:t>
            </w:r>
            <w:proofErr w:type="spellEnd"/>
            <w:r>
              <w:t xml:space="preserve">- or </w:t>
            </w:r>
            <w:proofErr w:type="spellStart"/>
            <w:r>
              <w:t>bradycardia</w:t>
            </w:r>
            <w:proofErr w:type="spellEnd"/>
            <w:r>
              <w:t>)</w:t>
            </w:r>
          </w:p>
          <w:p w:rsidR="00771386" w:rsidRDefault="00771386" w:rsidP="002A13AE">
            <w:pPr>
              <w:pStyle w:val="ListParagraph"/>
              <w:numPr>
                <w:ilvl w:val="0"/>
                <w:numId w:val="9"/>
              </w:numPr>
            </w:pPr>
            <w:r>
              <w:t>New or evolving regional wall motion abnormalities if echocardiography is used</w:t>
            </w:r>
          </w:p>
          <w:p w:rsidR="00286D5A" w:rsidRDefault="00286D5A" w:rsidP="00286D5A">
            <w:r>
              <w:t>If the patient is conscious, symptoms may include chest pain, breathlessness, dizziness, nausea and vomiting.</w:t>
            </w:r>
          </w:p>
          <w:p w:rsidR="002A13AE" w:rsidRDefault="00DC6B10" w:rsidP="002A13AE">
            <w:r>
              <w:t>Have a high index of suspicion in patients with a pre-existing history or risk factors for cardiac ischaemia</w:t>
            </w:r>
          </w:p>
        </w:tc>
      </w:tr>
    </w:tbl>
    <w:tbl>
      <w:tblPr>
        <w:tblStyle w:val="LightList-Accent6"/>
        <w:tblpPr w:leftFromText="180" w:rightFromText="180" w:vertAnchor="text" w:horzAnchor="margin" w:tblpXSpec="right" w:tblpY="211"/>
        <w:tblW w:w="0" w:type="auto"/>
        <w:tblLook w:val="04A0"/>
      </w:tblPr>
      <w:tblGrid>
        <w:gridCol w:w="6350"/>
      </w:tblGrid>
      <w:tr w:rsidR="002B3775" w:rsidTr="002B3775">
        <w:trPr>
          <w:cnfStyle w:val="100000000000"/>
        </w:trPr>
        <w:tc>
          <w:tcPr>
            <w:cnfStyle w:val="001000000000"/>
            <w:tcW w:w="6350" w:type="dxa"/>
          </w:tcPr>
          <w:p w:rsidR="002B3775" w:rsidRDefault="002B3775" w:rsidP="002B3775">
            <w:r>
              <w:t xml:space="preserve">Box A: </w:t>
            </w:r>
            <w:r w:rsidRPr="0047611A">
              <w:t>HAEMODYNAMIC INSTABILITY</w:t>
            </w:r>
          </w:p>
        </w:tc>
      </w:tr>
      <w:tr w:rsidR="002B3775" w:rsidTr="002B3775">
        <w:trPr>
          <w:cnfStyle w:val="000000100000"/>
          <w:trHeight w:val="1494"/>
        </w:trPr>
        <w:tc>
          <w:tcPr>
            <w:cnfStyle w:val="001000000000"/>
            <w:tcW w:w="6350" w:type="dxa"/>
          </w:tcPr>
          <w:p w:rsidR="002B3775" w:rsidRDefault="002B3775" w:rsidP="002B3775">
            <w:pPr>
              <w:pStyle w:val="ListParagraph"/>
              <w:numPr>
                <w:ilvl w:val="0"/>
                <w:numId w:val="10"/>
              </w:numPr>
            </w:pPr>
            <w:r w:rsidRPr="00703087">
              <w:rPr>
                <w:b w:val="0"/>
              </w:rPr>
              <w:t>Cardiac arrest</w:t>
            </w:r>
            <w:r>
              <w:t xml:space="preserve"> </w:t>
            </w:r>
            <w:r w:rsidRPr="00B1616D">
              <w:rPr>
                <w:rFonts w:cstheme="minorHAnsi"/>
              </w:rPr>
              <w:t xml:space="preserve">→ </w:t>
            </w:r>
            <w:r w:rsidR="00F2436D">
              <w:t>2-1</w:t>
            </w:r>
            <w:r w:rsidRPr="00B1616D">
              <w:t xml:space="preserve"> </w:t>
            </w:r>
          </w:p>
          <w:p w:rsidR="002B3775" w:rsidRPr="00E87A89" w:rsidRDefault="002B3775" w:rsidP="002B3775">
            <w:pPr>
              <w:pStyle w:val="ListParagraph"/>
              <w:numPr>
                <w:ilvl w:val="0"/>
                <w:numId w:val="10"/>
              </w:numPr>
            </w:pPr>
            <w:r>
              <w:rPr>
                <w:b w:val="0"/>
              </w:rPr>
              <w:t xml:space="preserve">Hypotension </w:t>
            </w:r>
            <w:r w:rsidRPr="00703087">
              <w:rPr>
                <w:rFonts w:cstheme="minorHAnsi"/>
              </w:rPr>
              <w:t xml:space="preserve">→ </w:t>
            </w:r>
            <w:r w:rsidR="00F2436D">
              <w:rPr>
                <w:rFonts w:cstheme="minorHAnsi"/>
              </w:rPr>
              <w:t>2-4</w:t>
            </w:r>
          </w:p>
          <w:p w:rsidR="002B3775" w:rsidRPr="00E87A89" w:rsidRDefault="002B3775" w:rsidP="002B3775">
            <w:pPr>
              <w:pStyle w:val="ListParagraph"/>
              <w:numPr>
                <w:ilvl w:val="0"/>
                <w:numId w:val="10"/>
              </w:numPr>
            </w:pPr>
            <w:r>
              <w:rPr>
                <w:rFonts w:cstheme="minorHAnsi"/>
                <w:b w:val="0"/>
              </w:rPr>
              <w:t xml:space="preserve">Hypertension </w:t>
            </w:r>
            <w:r w:rsidRPr="00703087">
              <w:rPr>
                <w:rFonts w:cstheme="minorHAnsi"/>
              </w:rPr>
              <w:t xml:space="preserve">→ </w:t>
            </w:r>
            <w:r w:rsidR="00F2436D">
              <w:rPr>
                <w:rFonts w:cstheme="minorHAnsi"/>
              </w:rPr>
              <w:t>2-5</w:t>
            </w:r>
          </w:p>
          <w:p w:rsidR="002B3775" w:rsidRPr="00E87A89" w:rsidRDefault="002B3775" w:rsidP="002B3775">
            <w:pPr>
              <w:pStyle w:val="ListParagraph"/>
              <w:numPr>
                <w:ilvl w:val="0"/>
                <w:numId w:val="10"/>
              </w:numPr>
            </w:pPr>
            <w:r>
              <w:rPr>
                <w:rFonts w:cstheme="minorHAnsi"/>
                <w:b w:val="0"/>
              </w:rPr>
              <w:t xml:space="preserve">Bradycardia </w:t>
            </w:r>
            <w:r w:rsidRPr="00703087">
              <w:rPr>
                <w:rFonts w:cstheme="minorHAnsi"/>
              </w:rPr>
              <w:t xml:space="preserve">→ </w:t>
            </w:r>
            <w:r w:rsidR="00F2436D">
              <w:rPr>
                <w:rFonts w:cstheme="minorHAnsi"/>
              </w:rPr>
              <w:t>2-6</w:t>
            </w:r>
          </w:p>
          <w:p w:rsidR="002B3775" w:rsidRPr="00B1616D" w:rsidRDefault="002B3775" w:rsidP="00F2436D">
            <w:pPr>
              <w:pStyle w:val="ListParagraph"/>
              <w:numPr>
                <w:ilvl w:val="0"/>
                <w:numId w:val="10"/>
              </w:numPr>
            </w:pPr>
            <w:r>
              <w:rPr>
                <w:rFonts w:cstheme="minorHAnsi"/>
                <w:b w:val="0"/>
              </w:rPr>
              <w:t xml:space="preserve">Tachycardia </w:t>
            </w:r>
            <w:r w:rsidR="00F2436D">
              <w:rPr>
                <w:rFonts w:cstheme="minorHAnsi"/>
              </w:rPr>
              <w:t>→  2-7</w:t>
            </w:r>
            <w:r>
              <w:rPr>
                <w:b w:val="0"/>
              </w:rPr>
              <w:t xml:space="preserve"> </w:t>
            </w:r>
          </w:p>
        </w:tc>
      </w:tr>
    </w:tbl>
    <w:p w:rsidR="009266E8" w:rsidRDefault="00B03162">
      <w:r w:rsidRPr="00B03162">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3pt;margin-top:20.2pt;width:430.3pt;height:3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" stroked="f">
            <v:textbox>
              <w:txbxContent>
                <w:p w:rsidR="004D2EED" w:rsidRPr="00136000" w:rsidRDefault="004D2EED"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4D2EED" w:rsidRPr="00DE25E3" w:rsidRDefault="004D2EED" w:rsidP="00691243">
                  <w:pPr>
                    <w:spacing w:after="120" w:line="240" w:lineRule="auto"/>
                  </w:pPr>
                  <w:r>
                    <w:rPr>
                      <w:rFonts w:cstheme="minorHAnsi"/>
                    </w:rPr>
                    <w:t xml:space="preserve">❶ </w:t>
                  </w:r>
                  <w:r w:rsidR="00231A34">
                    <w:t>Call for cardiac arrest trolley and 12-lead ECG machine.</w:t>
                  </w:r>
                </w:p>
                <w:p w:rsidR="004D2EED" w:rsidRPr="00DE25E3" w:rsidRDefault="004D2EED" w:rsidP="00691243">
                  <w:pPr>
                    <w:spacing w:after="120" w:line="240" w:lineRule="auto"/>
                  </w:pPr>
                  <w:r w:rsidRPr="00DE25E3">
                    <w:rPr>
                      <w:rFonts w:cstheme="minorHAnsi"/>
                    </w:rPr>
                    <w:t>❷</w:t>
                  </w:r>
                  <w:r w:rsidR="00231A34">
                    <w:t xml:space="preserve"> </w:t>
                  </w:r>
                  <w:r w:rsidR="00231A34">
                    <w:rPr>
                      <w:rFonts w:cstheme="minorHAnsi"/>
                    </w:rPr>
                    <w:t>Ensure adequate oxygenation and anaesthesia/analgesia.</w:t>
                  </w:r>
                </w:p>
                <w:p w:rsidR="004D2EED" w:rsidRDefault="002B3775" w:rsidP="00691243">
                  <w:pPr>
                    <w:spacing w:after="120" w:line="240" w:lineRule="auto"/>
                  </w:pPr>
                  <w:r w:rsidRPr="00DE25E3">
                    <w:rPr>
                      <w:rFonts w:cstheme="minorHAnsi"/>
                    </w:rPr>
                    <w:t>❸</w:t>
                  </w:r>
                  <w:r>
                    <w:rPr>
                      <w:rFonts w:cstheme="minorHAnsi"/>
                    </w:rPr>
                    <w:t xml:space="preserve"> </w:t>
                  </w:r>
                  <w:r w:rsidR="00231A34">
                    <w:rPr>
                      <w:rFonts w:cstheme="minorHAnsi"/>
                    </w:rPr>
                    <w:t>Treat haemodynamic instability (Box A).</w:t>
                  </w:r>
                </w:p>
                <w:p w:rsidR="004D2EED" w:rsidRDefault="002B3775" w:rsidP="00691243">
                  <w:pPr>
                    <w:spacing w:after="120" w:line="240" w:lineRule="auto"/>
                  </w:pPr>
                  <w:r>
                    <w:rPr>
                      <w:rFonts w:cstheme="minorHAnsi"/>
                    </w:rPr>
                    <w:t xml:space="preserve">❹ </w:t>
                  </w:r>
                  <w:r w:rsidR="00231A34">
                    <w:rPr>
                      <w:rFonts w:cstheme="minorHAnsi"/>
                    </w:rPr>
                    <w:t xml:space="preserve">Apply CM5 continuous ECG </w:t>
                  </w:r>
                  <w:r w:rsidR="00F2436D">
                    <w:rPr>
                      <w:rFonts w:cstheme="minorHAnsi"/>
                    </w:rPr>
                    <w:t>monitoring (Box B). Obtain a 12-</w:t>
                  </w:r>
                  <w:r w:rsidR="00231A34">
                    <w:rPr>
                      <w:rFonts w:cstheme="minorHAnsi"/>
                    </w:rPr>
                    <w:t>lead ECG as soon as possible.</w:t>
                  </w:r>
                </w:p>
                <w:p w:rsidR="00231A34" w:rsidRDefault="002B3775" w:rsidP="00231A34">
                  <w:pPr>
                    <w:spacing w:after="120" w:line="240" w:lineRule="auto"/>
                    <w:rPr>
                      <w:rFonts w:cstheme="minorHAnsi"/>
                    </w:rPr>
                  </w:pPr>
                  <w:r>
                    <w:rPr>
                      <w:rFonts w:cstheme="minorHAnsi"/>
                    </w:rPr>
                    <w:t xml:space="preserve">❺ </w:t>
                  </w:r>
                  <w:r w:rsidR="00231A34">
                    <w:rPr>
                      <w:rFonts w:cstheme="minorHAnsi"/>
                    </w:rPr>
                    <w:t>If ischaemia does not resolve:</w:t>
                  </w:r>
                </w:p>
                <w:p w:rsidR="00231A34" w:rsidRPr="00231A34" w:rsidRDefault="00231A34" w:rsidP="00231A34">
                  <w:pPr>
                    <w:pStyle w:val="ListParagraph"/>
                    <w:numPr>
                      <w:ilvl w:val="0"/>
                      <w:numId w:val="12"/>
                    </w:numPr>
                    <w:spacing w:after="120" w:line="240" w:lineRule="auto"/>
                    <w:rPr>
                      <w:rFonts w:cstheme="minorHAnsi"/>
                    </w:rPr>
                  </w:pPr>
                  <w:r w:rsidRPr="00231A34">
                    <w:rPr>
                      <w:rFonts w:cstheme="minorHAnsi"/>
                    </w:rPr>
                    <w:t>C</w:t>
                  </w:r>
                  <w:r>
                    <w:t>all for</w:t>
                  </w:r>
                  <w:r w:rsidRPr="00DE25E3">
                    <w:t xml:space="preserve"> help</w:t>
                  </w:r>
                  <w:r>
                    <w:t>. I</w:t>
                  </w:r>
                  <w:r w:rsidRPr="00231A34">
                    <w:rPr>
                      <w:rFonts w:cstheme="minorHAnsi"/>
                    </w:rPr>
                    <w:t>nform</w:t>
                  </w:r>
                  <w:r>
                    <w:t xml:space="preserve"> theatre team of problem. Stop or rapidly complete the surgery.</w:t>
                  </w:r>
                </w:p>
                <w:p w:rsidR="00231A34" w:rsidRPr="00231A34" w:rsidRDefault="00231A34" w:rsidP="00231A34">
                  <w:pPr>
                    <w:pStyle w:val="ListParagraph"/>
                    <w:numPr>
                      <w:ilvl w:val="0"/>
                      <w:numId w:val="12"/>
                    </w:numPr>
                    <w:spacing w:after="120" w:line="240" w:lineRule="auto"/>
                    <w:rPr>
                      <w:rFonts w:cstheme="minorHAnsi"/>
                    </w:rPr>
                  </w:pPr>
                  <w:r>
                    <w:rPr>
                      <w:rFonts w:cstheme="minorHAnsi"/>
                    </w:rPr>
                    <w:t>S</w:t>
                  </w:r>
                  <w:r w:rsidRPr="00231A34">
                    <w:rPr>
                      <w:rFonts w:cstheme="minorHAnsi"/>
                    </w:rPr>
                    <w:t xml:space="preserve">tart glyceryl </w:t>
                  </w:r>
                  <w:proofErr w:type="spellStart"/>
                  <w:r w:rsidRPr="00231A34">
                    <w:rPr>
                      <w:rFonts w:cstheme="minorHAnsi"/>
                    </w:rPr>
                    <w:t>trinitrate</w:t>
                  </w:r>
                  <w:proofErr w:type="spellEnd"/>
                  <w:r w:rsidRPr="00231A34">
                    <w:rPr>
                      <w:rFonts w:cstheme="minorHAnsi"/>
                    </w:rPr>
                    <w:t xml:space="preserve"> (GTN) (Box C).</w:t>
                  </w:r>
                </w:p>
                <w:p w:rsidR="004D2EED" w:rsidRDefault="00231A34" w:rsidP="00691243">
                  <w:pPr>
                    <w:pStyle w:val="ListParagraph"/>
                    <w:numPr>
                      <w:ilvl w:val="0"/>
                      <w:numId w:val="12"/>
                    </w:numPr>
                    <w:spacing w:after="120" w:line="240" w:lineRule="auto"/>
                    <w:contextualSpacing w:val="0"/>
                  </w:pPr>
                  <w:r>
                    <w:t>EXTREME CAUTION with GTN if the patient is hypotensive</w:t>
                  </w:r>
                  <w:r w:rsidR="00F2436D">
                    <w:t>.</w:t>
                  </w:r>
                </w:p>
                <w:p w:rsidR="004D2EED" w:rsidRDefault="002B3775" w:rsidP="00231A34">
                  <w:pPr>
                    <w:spacing w:after="120" w:line="240" w:lineRule="auto"/>
                  </w:pPr>
                  <w:r>
                    <w:rPr>
                      <w:rFonts w:cstheme="minorHAnsi"/>
                    </w:rPr>
                    <w:t xml:space="preserve">❻ </w:t>
                  </w:r>
                  <w:r w:rsidR="00231A34">
                    <w:t>Consider invasive arterial blood pressure monitoring.</w:t>
                  </w:r>
                </w:p>
                <w:p w:rsidR="004D2EED" w:rsidRDefault="002B3775" w:rsidP="00691243">
                  <w:pPr>
                    <w:spacing w:after="120" w:line="240" w:lineRule="auto"/>
                  </w:pPr>
                  <w:r>
                    <w:rPr>
                      <w:rFonts w:cstheme="minorHAnsi"/>
                    </w:rPr>
                    <w:t xml:space="preserve">❼ </w:t>
                  </w:r>
                  <w:r w:rsidR="00231A34">
                    <w:rPr>
                      <w:rFonts w:cstheme="minorHAnsi"/>
                    </w:rPr>
                    <w:t>Treat electrolyte abnormalities par</w:t>
                  </w:r>
                  <w:r w:rsidR="00B70531">
                    <w:rPr>
                      <w:rFonts w:cstheme="minorHAnsi"/>
                    </w:rPr>
                    <w:t>ticularly potassium, magnesium and</w:t>
                  </w:r>
                  <w:r w:rsidR="00231A34">
                    <w:rPr>
                      <w:rFonts w:cstheme="minorHAnsi"/>
                    </w:rPr>
                    <w:t xml:space="preserve"> calcium.</w:t>
                  </w:r>
                </w:p>
                <w:p w:rsidR="00231A34" w:rsidRDefault="002B3775" w:rsidP="00231A34">
                  <w:pPr>
                    <w:spacing w:after="120" w:line="240" w:lineRule="auto"/>
                    <w:rPr>
                      <w:rFonts w:cstheme="minorHAnsi"/>
                    </w:rPr>
                  </w:pPr>
                  <w:r>
                    <w:rPr>
                      <w:rFonts w:cstheme="minorHAnsi"/>
                    </w:rPr>
                    <w:t xml:space="preserve">❽ </w:t>
                  </w:r>
                  <w:r w:rsidR="00231A34">
                    <w:rPr>
                      <w:rFonts w:cstheme="minorHAnsi"/>
                    </w:rPr>
                    <w:t xml:space="preserve">Treat anaemia aiming for haematocrit &gt;30%. </w:t>
                  </w:r>
                </w:p>
                <w:p w:rsidR="004D2EED" w:rsidRPr="00231A34" w:rsidRDefault="00231A34" w:rsidP="00691243">
                  <w:pPr>
                    <w:pStyle w:val="ListParagraph"/>
                    <w:numPr>
                      <w:ilvl w:val="0"/>
                      <w:numId w:val="12"/>
                    </w:numPr>
                    <w:spacing w:after="120" w:line="240" w:lineRule="auto"/>
                    <w:contextualSpacing w:val="0"/>
                    <w:rPr>
                      <w:rFonts w:cstheme="minorHAnsi"/>
                    </w:rPr>
                  </w:pPr>
                  <w:r>
                    <w:rPr>
                      <w:rFonts w:cstheme="minorHAnsi"/>
                    </w:rPr>
                    <w:t xml:space="preserve">CAUTION </w:t>
                  </w:r>
                  <w:r w:rsidR="00F2436D">
                    <w:rPr>
                      <w:rFonts w:cstheme="minorHAnsi"/>
                    </w:rPr>
                    <w:t>–</w:t>
                  </w:r>
                  <w:r w:rsidRPr="00F10226">
                    <w:rPr>
                      <w:rFonts w:cstheme="minorHAnsi"/>
                    </w:rPr>
                    <w:t xml:space="preserve"> </w:t>
                  </w:r>
                  <w:r w:rsidR="00F2436D">
                    <w:rPr>
                      <w:rFonts w:cstheme="minorHAnsi"/>
                    </w:rPr>
                    <w:t xml:space="preserve">beware </w:t>
                  </w:r>
                  <w:r w:rsidRPr="00F10226">
                    <w:rPr>
                      <w:rFonts w:cstheme="minorHAnsi"/>
                    </w:rPr>
                    <w:t>volume overload especially in heart failure</w:t>
                  </w:r>
                  <w:r>
                    <w:rPr>
                      <w:rFonts w:cstheme="minorHAnsi"/>
                    </w:rPr>
                    <w:t>.</w:t>
                  </w:r>
                </w:p>
                <w:p w:rsidR="004D2EED" w:rsidRDefault="002B3775" w:rsidP="00691243">
                  <w:pPr>
                    <w:spacing w:after="120" w:line="240" w:lineRule="auto"/>
                    <w:rPr>
                      <w:rFonts w:cstheme="minorHAnsi"/>
                    </w:rPr>
                  </w:pPr>
                  <w:r>
                    <w:rPr>
                      <w:rFonts w:cstheme="minorHAnsi"/>
                      <w:b/>
                    </w:rPr>
                    <w:t>❾</w:t>
                  </w:r>
                  <w:r>
                    <w:rPr>
                      <w:rFonts w:cstheme="minorHAnsi"/>
                    </w:rPr>
                    <w:t xml:space="preserve"> </w:t>
                  </w:r>
                  <w:r w:rsidR="004D2EED">
                    <w:rPr>
                      <w:rFonts w:cstheme="minorHAnsi"/>
                    </w:rPr>
                    <w:t>If persistent ST elevation is present, consider need for</w:t>
                  </w:r>
                  <w:r w:rsidR="00691243">
                    <w:rPr>
                      <w:rFonts w:cstheme="minorHAnsi"/>
                    </w:rPr>
                    <w:t xml:space="preserve"> anticoagulation, anti-platelet </w:t>
                  </w:r>
                  <w:r w:rsidR="004D2EED">
                    <w:rPr>
                      <w:rFonts w:cstheme="minorHAnsi"/>
                    </w:rPr>
                    <w:t>therapy and revascularisation in consultation with cardiology and surgical teams</w:t>
                  </w:r>
                  <w:r>
                    <w:rPr>
                      <w:rFonts w:cstheme="minorHAnsi"/>
                    </w:rPr>
                    <w:t>.</w:t>
                  </w:r>
                </w:p>
                <w:p w:rsidR="004D2EED" w:rsidRDefault="004D2EED" w:rsidP="0094292D"/>
              </w:txbxContent>
            </v:textbox>
          </v:shape>
        </w:pict>
      </w:r>
    </w:p>
    <w:p w:rsidR="00042F42" w:rsidRDefault="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81"/>
        <w:tblW w:w="0" w:type="auto"/>
        <w:tblLook w:val="04A0"/>
      </w:tblPr>
      <w:tblGrid>
        <w:gridCol w:w="6350"/>
      </w:tblGrid>
      <w:tr w:rsidR="002B3775" w:rsidTr="002B3775">
        <w:trPr>
          <w:cnfStyle w:val="100000000000"/>
        </w:trPr>
        <w:tc>
          <w:tcPr>
            <w:cnfStyle w:val="001000000000"/>
            <w:tcW w:w="6350" w:type="dxa"/>
          </w:tcPr>
          <w:p w:rsidR="002B3775" w:rsidRDefault="002B3775" w:rsidP="002B3775">
            <w:r>
              <w:t xml:space="preserve">Box B: </w:t>
            </w:r>
            <w:r w:rsidRPr="0047611A">
              <w:t xml:space="preserve">CM5 ECG </w:t>
            </w:r>
            <w:r>
              <w:t>CONFIGURATION</w:t>
            </w:r>
          </w:p>
        </w:tc>
      </w:tr>
      <w:tr w:rsidR="002B3775" w:rsidTr="002B3775">
        <w:trPr>
          <w:cnfStyle w:val="000000100000"/>
        </w:trPr>
        <w:tc>
          <w:tcPr>
            <w:cnfStyle w:val="001000000000"/>
            <w:tcW w:w="6350" w:type="dxa"/>
          </w:tcPr>
          <w:p w:rsidR="002B3775" w:rsidRDefault="00231A34" w:rsidP="002B3775">
            <w:pPr>
              <w:pStyle w:val="ListParagraph"/>
              <w:numPr>
                <w:ilvl w:val="0"/>
                <w:numId w:val="11"/>
              </w:numPr>
              <w:rPr>
                <w:b w:val="0"/>
              </w:rPr>
            </w:pPr>
            <w:r>
              <w:rPr>
                <w:b w:val="0"/>
              </w:rPr>
              <w:t>Right arm (r</w:t>
            </w:r>
            <w:r w:rsidR="002B3775" w:rsidRPr="002D5389">
              <w:rPr>
                <w:b w:val="0"/>
              </w:rPr>
              <w:t>ed) lead over upper right sternum</w:t>
            </w:r>
            <w:r w:rsidR="002B3775">
              <w:rPr>
                <w:b w:val="0"/>
              </w:rPr>
              <w:t>.</w:t>
            </w:r>
          </w:p>
          <w:p w:rsidR="002B3775" w:rsidRDefault="00231A34" w:rsidP="002B3775">
            <w:pPr>
              <w:pStyle w:val="ListParagraph"/>
              <w:numPr>
                <w:ilvl w:val="0"/>
                <w:numId w:val="11"/>
              </w:numPr>
              <w:rPr>
                <w:b w:val="0"/>
              </w:rPr>
            </w:pPr>
            <w:r>
              <w:rPr>
                <w:b w:val="0"/>
              </w:rPr>
              <w:t>Left arm (y</w:t>
            </w:r>
            <w:r w:rsidR="002B3775">
              <w:rPr>
                <w:b w:val="0"/>
              </w:rPr>
              <w:t>ellow) lead 5</w:t>
            </w:r>
            <w:r w:rsidR="002B3775" w:rsidRPr="00B70531">
              <w:rPr>
                <w:b w:val="0"/>
              </w:rPr>
              <w:t>th</w:t>
            </w:r>
            <w:r w:rsidR="002B3775">
              <w:rPr>
                <w:b w:val="0"/>
              </w:rPr>
              <w:t xml:space="preserve"> intercostal space under left nipple.</w:t>
            </w:r>
          </w:p>
          <w:p w:rsidR="002B3775" w:rsidRPr="002D5389" w:rsidRDefault="00BE461B" w:rsidP="002B3775">
            <w:pPr>
              <w:pStyle w:val="ListParagraph"/>
              <w:numPr>
                <w:ilvl w:val="0"/>
                <w:numId w:val="11"/>
              </w:numPr>
              <w:rPr>
                <w:b w:val="0"/>
              </w:rPr>
            </w:pPr>
            <w:r>
              <w:rPr>
                <w:b w:val="0"/>
              </w:rPr>
              <w:t xml:space="preserve">Indifferent </w:t>
            </w:r>
            <w:r w:rsidR="00231A34">
              <w:rPr>
                <w:b w:val="0"/>
              </w:rPr>
              <w:t>(green or b</w:t>
            </w:r>
            <w:r w:rsidR="002B3775">
              <w:rPr>
                <w:b w:val="0"/>
              </w:rPr>
              <w:t>lack) lead on left shoulder.</w:t>
            </w:r>
          </w:p>
        </w:tc>
      </w:tr>
    </w:tbl>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308"/>
        <w:tblOverlap w:val="never"/>
        <w:tblW w:w="6350" w:type="dxa"/>
        <w:tblLook w:val="04A0"/>
      </w:tblPr>
      <w:tblGrid>
        <w:gridCol w:w="6350"/>
      </w:tblGrid>
      <w:tr w:rsidR="002B3775" w:rsidRPr="004555AC" w:rsidTr="002B3775">
        <w:trPr>
          <w:cnfStyle w:val="100000000000"/>
          <w:trHeight w:val="268"/>
        </w:trPr>
        <w:tc>
          <w:tcPr>
            <w:cnfStyle w:val="001000000000"/>
            <w:tcW w:w="6350" w:type="dxa"/>
          </w:tcPr>
          <w:p w:rsidR="002B3775" w:rsidRPr="004555AC" w:rsidRDefault="002B3775" w:rsidP="002B3775">
            <w:pPr>
              <w:rPr>
                <w:sz w:val="20"/>
                <w:szCs w:val="20"/>
              </w:rPr>
            </w:pPr>
            <w:r>
              <w:rPr>
                <w:szCs w:val="20"/>
              </w:rPr>
              <w:t>Box C: GLYCERYL TRINITRATE (GTN) DOSE</w:t>
            </w:r>
          </w:p>
        </w:tc>
      </w:tr>
      <w:tr w:rsidR="002B3775" w:rsidRPr="004555AC" w:rsidTr="002B3775">
        <w:trPr>
          <w:cnfStyle w:val="000000100000"/>
          <w:trHeight w:val="537"/>
        </w:trPr>
        <w:tc>
          <w:tcPr>
            <w:cnfStyle w:val="001000000000"/>
            <w:tcW w:w="6350" w:type="dxa"/>
            <w:shd w:val="clear" w:color="auto" w:fill="FFFFFF" w:themeFill="background1"/>
          </w:tcPr>
          <w:p w:rsidR="002B3775" w:rsidRPr="00231A34" w:rsidRDefault="00231A34" w:rsidP="002B3775">
            <w:pPr>
              <w:pStyle w:val="ListParagraph"/>
              <w:numPr>
                <w:ilvl w:val="0"/>
                <w:numId w:val="13"/>
              </w:numPr>
              <w:rPr>
                <w:b w:val="0"/>
              </w:rPr>
            </w:pPr>
            <w:r w:rsidRPr="00231A34">
              <w:rPr>
                <w:b w:val="0"/>
              </w:rPr>
              <w:t>Consider s</w:t>
            </w:r>
            <w:r w:rsidR="002B3775" w:rsidRPr="00231A34">
              <w:rPr>
                <w:b w:val="0"/>
              </w:rPr>
              <w:t>ublingual administration.</w:t>
            </w:r>
          </w:p>
          <w:p w:rsidR="002B3775" w:rsidRPr="00231A34" w:rsidRDefault="00231A34" w:rsidP="002B3775">
            <w:pPr>
              <w:pStyle w:val="ListParagraph"/>
              <w:numPr>
                <w:ilvl w:val="0"/>
                <w:numId w:val="13"/>
              </w:numPr>
              <w:rPr>
                <w:b w:val="0"/>
              </w:rPr>
            </w:pPr>
            <w:proofErr w:type="spellStart"/>
            <w:r w:rsidRPr="00231A34">
              <w:rPr>
                <w:b w:val="0"/>
              </w:rPr>
              <w:t>i.v</w:t>
            </w:r>
            <w:proofErr w:type="spellEnd"/>
            <w:r w:rsidRPr="00231A34">
              <w:rPr>
                <w:b w:val="0"/>
              </w:rPr>
              <w:t>.</w:t>
            </w:r>
            <w:r w:rsidR="008360EB">
              <w:rPr>
                <w:b w:val="0"/>
              </w:rPr>
              <w:t xml:space="preserve">: </w:t>
            </w:r>
            <w:r w:rsidR="002B3775" w:rsidRPr="00231A34">
              <w:rPr>
                <w:b w:val="0"/>
              </w:rPr>
              <w:t>1 mg.ml</w:t>
            </w:r>
            <w:r w:rsidR="002B3775" w:rsidRPr="00231A34">
              <w:rPr>
                <w:b w:val="0"/>
                <w:vertAlign w:val="superscript"/>
              </w:rPr>
              <w:t>-1</w:t>
            </w:r>
            <w:r w:rsidR="002B3775" w:rsidRPr="00231A34">
              <w:rPr>
                <w:b w:val="0"/>
              </w:rPr>
              <w:t xml:space="preserve"> solution – start at 0.1ml.kg</w:t>
            </w:r>
            <w:r w:rsidR="002B3775" w:rsidRPr="00231A34">
              <w:rPr>
                <w:b w:val="0"/>
                <w:vertAlign w:val="superscript"/>
              </w:rPr>
              <w:t>-1</w:t>
            </w:r>
            <w:r w:rsidR="002B3775" w:rsidRPr="00231A34">
              <w:rPr>
                <w:b w:val="0"/>
              </w:rPr>
              <w:t>.hr</w:t>
            </w:r>
            <w:r w:rsidR="002B3775" w:rsidRPr="00231A34">
              <w:rPr>
                <w:b w:val="0"/>
                <w:vertAlign w:val="superscript"/>
              </w:rPr>
              <w:t>-1</w:t>
            </w:r>
            <w:r w:rsidR="002B3775" w:rsidRPr="00231A34">
              <w:rPr>
                <w:b w:val="0"/>
              </w:rPr>
              <w:t>, titrate against response.</w:t>
            </w:r>
          </w:p>
          <w:p w:rsidR="002B3775" w:rsidRPr="002B3775" w:rsidRDefault="002B3775" w:rsidP="002B3775">
            <w:pPr>
              <w:pStyle w:val="ListParagraph"/>
              <w:numPr>
                <w:ilvl w:val="0"/>
                <w:numId w:val="13"/>
              </w:numPr>
              <w:rPr>
                <w:sz w:val="20"/>
                <w:szCs w:val="20"/>
              </w:rPr>
            </w:pPr>
            <w:r w:rsidRPr="00231A34">
              <w:rPr>
                <w:b w:val="0"/>
              </w:rPr>
              <w:t>NOT RECOMMENDED IN CHILDREN.</w:t>
            </w:r>
          </w:p>
        </w:tc>
      </w:tr>
    </w:tbl>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311"/>
        <w:tblW w:w="0" w:type="auto"/>
        <w:tblLook w:val="04A0"/>
      </w:tblPr>
      <w:tblGrid>
        <w:gridCol w:w="6350"/>
      </w:tblGrid>
      <w:tr w:rsidR="00231A34" w:rsidTr="00231A34">
        <w:trPr>
          <w:cnfStyle w:val="100000000000"/>
        </w:trPr>
        <w:tc>
          <w:tcPr>
            <w:cnfStyle w:val="001000000000"/>
            <w:tcW w:w="6350" w:type="dxa"/>
          </w:tcPr>
          <w:p w:rsidR="00231A34" w:rsidRDefault="00231A34" w:rsidP="00231A34">
            <w:r>
              <w:t>Box D: AFTER THE EVENT</w:t>
            </w:r>
          </w:p>
        </w:tc>
      </w:tr>
      <w:tr w:rsidR="00231A34" w:rsidTr="00231A34">
        <w:trPr>
          <w:cnfStyle w:val="000000100000"/>
          <w:trHeight w:val="825"/>
        </w:trPr>
        <w:tc>
          <w:tcPr>
            <w:cnfStyle w:val="001000000000"/>
            <w:tcW w:w="6350" w:type="dxa"/>
          </w:tcPr>
          <w:p w:rsidR="00231A34" w:rsidRDefault="00231A34" w:rsidP="00231A34">
            <w:pPr>
              <w:rPr>
                <w:b w:val="0"/>
              </w:rPr>
            </w:pPr>
            <w:r>
              <w:rPr>
                <w:b w:val="0"/>
              </w:rPr>
              <w:t>Admit to critical care environment and consult cardiology</w:t>
            </w:r>
          </w:p>
          <w:p w:rsidR="00231A34" w:rsidRDefault="00231A34" w:rsidP="00231A34">
            <w:pPr>
              <w:rPr>
                <w:b w:val="0"/>
              </w:rPr>
            </w:pPr>
            <w:r>
              <w:rPr>
                <w:b w:val="0"/>
              </w:rPr>
              <w:t>Maintain head up position if practicable</w:t>
            </w:r>
          </w:p>
          <w:p w:rsidR="00231A34" w:rsidRPr="00B00495" w:rsidRDefault="00231A34" w:rsidP="00231A34">
            <w:pPr>
              <w:rPr>
                <w:b w:val="0"/>
              </w:rPr>
            </w:pPr>
            <w:r>
              <w:rPr>
                <w:b w:val="0"/>
              </w:rPr>
              <w:t>Obtain serial 12-lead ECGs and cardiac enzymes</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B03162" w:rsidP="00042F42">
      <w:r w:rsidRPr="00B03162">
        <w:rPr>
          <w:rFonts w:ascii="Times New Roman" w:eastAsia="Calibri" w:hAnsi="Times New Roman" w:cs="Times New Roman"/>
          <w:noProof/>
          <w:sz w:val="24"/>
          <w:szCs w:val="24"/>
          <w:lang w:eastAsia="en-GB"/>
        </w:rPr>
        <w:pict>
          <v:shape id="Text Box 3" o:spid="_x0000_s1027" type="#_x0000_t202" style="position:absolute;margin-left:16.2pt;margin-top:14.15pt;width:669.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" filled="f" stroked="f">
            <v:textbox>
              <w:txbxContent>
                <w:p w:rsidR="00305BC1" w:rsidRDefault="000C159D" w:rsidP="00D071F9">
                  <w:pPr>
                    <w:rPr>
                      <w:b/>
                      <w:bCs/>
                      <w:sz w:val="16"/>
                      <w:szCs w:val="16"/>
                    </w:rPr>
                  </w:pPr>
                  <w:bookmarkStart w:id="0" w:name="_GoBack"/>
                  <w:r>
                    <w:rPr>
                      <w:b/>
                      <w:bCs/>
                      <w:sz w:val="16"/>
                      <w:szCs w:val="16"/>
                    </w:rPr>
                    <w:t>The Association Of Anaesthetists of Great Britain &amp; Ireland</w:t>
                  </w:r>
                  <w:r w:rsidR="00583775">
                    <w:rPr>
                      <w:b/>
                      <w:bCs/>
                      <w:sz w:val="16"/>
                      <w:szCs w:val="16"/>
                    </w:rPr>
                    <w:t xml:space="preserve"> 201</w:t>
                  </w:r>
                  <w:r w:rsidR="00DB44E7">
                    <w:rPr>
                      <w:b/>
                      <w:bCs/>
                      <w:sz w:val="16"/>
                      <w:szCs w:val="16"/>
                    </w:rPr>
                    <w:t>9</w:t>
                  </w:r>
                  <w:r w:rsidR="00305BC1">
                    <w:rPr>
                      <w:b/>
                      <w:bCs/>
                      <w:sz w:val="16"/>
                      <w:szCs w:val="16"/>
                    </w:rPr>
                    <w:t xml:space="preserve">. </w:t>
                  </w:r>
                  <w:hyperlink r:id="rId8" w:history="1">
                    <w:r w:rsidR="00D071F9" w:rsidRPr="00D071F9">
                      <w:rPr>
                        <w:b/>
                        <w:bCs/>
                        <w:sz w:val="16"/>
                        <w:szCs w:val="16"/>
                      </w:rPr>
                      <w:t>https://anaesthetists.org/Quick-Reference-Handbook</w:t>
                    </w:r>
                  </w:hyperlink>
                  <w:r w:rsidR="006A6410">
                    <w:rPr>
                      <w:b/>
                      <w:bCs/>
                      <w:sz w:val="16"/>
                      <w:szCs w:val="16"/>
                    </w:rPr>
                    <w:t xml:space="preserve">. </w:t>
                  </w:r>
                  <w:r w:rsidR="00305BC1">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10.95pt;margin-top:12pt;width:75.7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" filled="f" stroked="f">
            <v:textbox>
              <w:txbxContent>
                <w:p w:rsidR="004D2EED" w:rsidRPr="00B1616D" w:rsidRDefault="00F2436D" w:rsidP="00F2436D">
                  <w:pPr>
                    <w:jc w:val="center"/>
                    <w:rPr>
                      <w:color w:val="A6A6A6" w:themeColor="background1" w:themeShade="A6"/>
                      <w:sz w:val="56"/>
                      <w:szCs w:val="56"/>
                    </w:rPr>
                  </w:pPr>
                  <w:r>
                    <w:rPr>
                      <w:color w:val="A6A6A6" w:themeColor="background1" w:themeShade="A6"/>
                      <w:sz w:val="56"/>
                      <w:szCs w:val="56"/>
                    </w:rPr>
                    <w:t>3-12</w:t>
                  </w:r>
                </w:p>
              </w:txbxContent>
            </v:textbox>
          </v:shape>
        </w:pict>
      </w:r>
      <w:r>
        <w:rPr>
          <w:noProof/>
          <w:lang w:eastAsia="en-GB"/>
        </w:rPr>
        <w:pict>
          <v:shape id="_x0000_s1029" type="#_x0000_t202" style="position:absolute;margin-left:747.5pt;margin-top:73.65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" stroked="f">
            <v:textbox>
              <w:txbxContent>
                <w:p w:rsidR="004D2EED" w:rsidRPr="00003411" w:rsidRDefault="004D2EED" w:rsidP="00003411">
                  <w:pPr>
                    <w:jc w:val="center"/>
                    <w:rPr>
                      <w:color w:val="808080" w:themeColor="background1" w:themeShade="80"/>
                      <w:sz w:val="48"/>
                    </w:rPr>
                  </w:pPr>
                  <w:r>
                    <w:rPr>
                      <w:color w:val="808080" w:themeColor="background1" w:themeShade="80"/>
                      <w:sz w:val="48"/>
                    </w:rPr>
                    <w:t>X</w:t>
                  </w:r>
                  <w:r w:rsidRPr="00003411">
                    <w:rPr>
                      <w:color w:val="808080" w:themeColor="background1" w:themeShade="80"/>
                      <w:sz w:val="48"/>
                    </w:rPr>
                    <w:t>-</w:t>
                  </w:r>
                  <w:r>
                    <w:rPr>
                      <w:color w:val="808080" w:themeColor="background1" w:themeShade="80"/>
                      <w:sz w:val="48"/>
                    </w:rPr>
                    <w:t>X</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CF" w:rsidRDefault="00AF50CF" w:rsidP="00725899">
      <w:pPr>
        <w:spacing w:after="0" w:line="240" w:lineRule="auto"/>
      </w:pPr>
      <w:r>
        <w:separator/>
      </w:r>
    </w:p>
  </w:endnote>
  <w:endnote w:type="continuationSeparator" w:id="0">
    <w:p w:rsidR="00AF50CF" w:rsidRDefault="00AF50CF"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CF" w:rsidRDefault="00AF50CF" w:rsidP="00725899">
      <w:pPr>
        <w:spacing w:after="0" w:line="240" w:lineRule="auto"/>
      </w:pPr>
      <w:r>
        <w:separator/>
      </w:r>
    </w:p>
  </w:footnote>
  <w:footnote w:type="continuationSeparator" w:id="0">
    <w:p w:rsidR="00AF50CF" w:rsidRDefault="00AF50CF"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730AC9"/>
    <w:multiLevelType w:val="hybridMultilevel"/>
    <w:tmpl w:val="F90AB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2A52E5E"/>
    <w:multiLevelType w:val="hybridMultilevel"/>
    <w:tmpl w:val="1B9E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B70562"/>
    <w:multiLevelType w:val="hybridMultilevel"/>
    <w:tmpl w:val="1E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A249F6"/>
    <w:multiLevelType w:val="hybridMultilevel"/>
    <w:tmpl w:val="4BFA4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C52160"/>
    <w:multiLevelType w:val="hybridMultilevel"/>
    <w:tmpl w:val="552E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0"/>
  </w:num>
  <w:num w:numId="5">
    <w:abstractNumId w:val="4"/>
  </w:num>
  <w:num w:numId="6">
    <w:abstractNumId w:val="9"/>
  </w:num>
  <w:num w:numId="7">
    <w:abstractNumId w:val="2"/>
  </w:num>
  <w:num w:numId="8">
    <w:abstractNumId w:val="3"/>
  </w:num>
  <w:num w:numId="9">
    <w:abstractNumId w:val="11"/>
  </w:num>
  <w:num w:numId="10">
    <w:abstractNumId w:val="6"/>
  </w:num>
  <w:num w:numId="11">
    <w:abstractNumId w:val="7"/>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257A5"/>
    <w:rsid w:val="00042F42"/>
    <w:rsid w:val="00070BFC"/>
    <w:rsid w:val="00090743"/>
    <w:rsid w:val="00097A1D"/>
    <w:rsid w:val="000B1798"/>
    <w:rsid w:val="000C034E"/>
    <w:rsid w:val="000C159D"/>
    <w:rsid w:val="000D62B9"/>
    <w:rsid w:val="000F5175"/>
    <w:rsid w:val="0011605F"/>
    <w:rsid w:val="00136000"/>
    <w:rsid w:val="00145101"/>
    <w:rsid w:val="00152A7C"/>
    <w:rsid w:val="00154418"/>
    <w:rsid w:val="00192E9C"/>
    <w:rsid w:val="001A66A9"/>
    <w:rsid w:val="001D548C"/>
    <w:rsid w:val="001F6867"/>
    <w:rsid w:val="00231A34"/>
    <w:rsid w:val="00240BAC"/>
    <w:rsid w:val="00286D5A"/>
    <w:rsid w:val="002A13AE"/>
    <w:rsid w:val="002B3775"/>
    <w:rsid w:val="002D5389"/>
    <w:rsid w:val="00305BC1"/>
    <w:rsid w:val="00350200"/>
    <w:rsid w:val="00361936"/>
    <w:rsid w:val="00366A6A"/>
    <w:rsid w:val="003A0A0D"/>
    <w:rsid w:val="003B0C50"/>
    <w:rsid w:val="003E4609"/>
    <w:rsid w:val="00443FFC"/>
    <w:rsid w:val="004555AC"/>
    <w:rsid w:val="0047611A"/>
    <w:rsid w:val="004A6A02"/>
    <w:rsid w:val="004C14B7"/>
    <w:rsid w:val="004D2EED"/>
    <w:rsid w:val="004F7A95"/>
    <w:rsid w:val="005418A1"/>
    <w:rsid w:val="00573080"/>
    <w:rsid w:val="005771DC"/>
    <w:rsid w:val="00582073"/>
    <w:rsid w:val="00583775"/>
    <w:rsid w:val="005C0CDF"/>
    <w:rsid w:val="005F0EC2"/>
    <w:rsid w:val="00626464"/>
    <w:rsid w:val="00653E59"/>
    <w:rsid w:val="00661316"/>
    <w:rsid w:val="00691243"/>
    <w:rsid w:val="006A6410"/>
    <w:rsid w:val="006A64A6"/>
    <w:rsid w:val="006E3682"/>
    <w:rsid w:val="00703087"/>
    <w:rsid w:val="00725899"/>
    <w:rsid w:val="00771386"/>
    <w:rsid w:val="007B1D53"/>
    <w:rsid w:val="007B5439"/>
    <w:rsid w:val="007C62B9"/>
    <w:rsid w:val="007F471E"/>
    <w:rsid w:val="008360EB"/>
    <w:rsid w:val="008440AF"/>
    <w:rsid w:val="00861DE4"/>
    <w:rsid w:val="00870D4F"/>
    <w:rsid w:val="008B07E5"/>
    <w:rsid w:val="008C1DD2"/>
    <w:rsid w:val="008E6F42"/>
    <w:rsid w:val="00903146"/>
    <w:rsid w:val="00904008"/>
    <w:rsid w:val="00914F76"/>
    <w:rsid w:val="009266E8"/>
    <w:rsid w:val="009416E1"/>
    <w:rsid w:val="0094292D"/>
    <w:rsid w:val="00947634"/>
    <w:rsid w:val="00965502"/>
    <w:rsid w:val="009F29F2"/>
    <w:rsid w:val="00A11582"/>
    <w:rsid w:val="00A14329"/>
    <w:rsid w:val="00A70046"/>
    <w:rsid w:val="00A92C08"/>
    <w:rsid w:val="00AF50CF"/>
    <w:rsid w:val="00B00495"/>
    <w:rsid w:val="00B03162"/>
    <w:rsid w:val="00B1616D"/>
    <w:rsid w:val="00B25024"/>
    <w:rsid w:val="00B60E12"/>
    <w:rsid w:val="00B70531"/>
    <w:rsid w:val="00BE461B"/>
    <w:rsid w:val="00C222D9"/>
    <w:rsid w:val="00CC2DA7"/>
    <w:rsid w:val="00CD4051"/>
    <w:rsid w:val="00D071F9"/>
    <w:rsid w:val="00D34A27"/>
    <w:rsid w:val="00D70D53"/>
    <w:rsid w:val="00DB44E7"/>
    <w:rsid w:val="00DC1314"/>
    <w:rsid w:val="00DC6B10"/>
    <w:rsid w:val="00DC75BF"/>
    <w:rsid w:val="00E77742"/>
    <w:rsid w:val="00E87A89"/>
    <w:rsid w:val="00EA1315"/>
    <w:rsid w:val="00EF2A15"/>
    <w:rsid w:val="00F10226"/>
    <w:rsid w:val="00F2436D"/>
    <w:rsid w:val="00F4476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DC6B10"/>
    <w:rPr>
      <w:sz w:val="16"/>
      <w:szCs w:val="16"/>
    </w:rPr>
  </w:style>
  <w:style w:type="paragraph" w:styleId="CommentText">
    <w:name w:val="annotation text"/>
    <w:basedOn w:val="Normal"/>
    <w:link w:val="CommentTextChar"/>
    <w:uiPriority w:val="99"/>
    <w:semiHidden/>
    <w:unhideWhenUsed/>
    <w:rsid w:val="00DC6B10"/>
    <w:pPr>
      <w:spacing w:line="240" w:lineRule="auto"/>
    </w:pPr>
    <w:rPr>
      <w:sz w:val="20"/>
      <w:szCs w:val="20"/>
    </w:rPr>
  </w:style>
  <w:style w:type="character" w:customStyle="1" w:styleId="CommentTextChar">
    <w:name w:val="Comment Text Char"/>
    <w:basedOn w:val="DefaultParagraphFont"/>
    <w:link w:val="CommentText"/>
    <w:uiPriority w:val="99"/>
    <w:semiHidden/>
    <w:rsid w:val="00DC6B10"/>
    <w:rPr>
      <w:sz w:val="20"/>
      <w:szCs w:val="20"/>
    </w:rPr>
  </w:style>
  <w:style w:type="paragraph" w:styleId="CommentSubject">
    <w:name w:val="annotation subject"/>
    <w:basedOn w:val="CommentText"/>
    <w:next w:val="CommentText"/>
    <w:link w:val="CommentSubjectChar"/>
    <w:uiPriority w:val="99"/>
    <w:semiHidden/>
    <w:unhideWhenUsed/>
    <w:rsid w:val="00DC6B10"/>
    <w:rPr>
      <w:b/>
      <w:bCs/>
    </w:rPr>
  </w:style>
  <w:style w:type="character" w:customStyle="1" w:styleId="CommentSubjectChar">
    <w:name w:val="Comment Subject Char"/>
    <w:basedOn w:val="CommentTextChar"/>
    <w:link w:val="CommentSubject"/>
    <w:uiPriority w:val="99"/>
    <w:semiHidden/>
    <w:rsid w:val="00DC6B10"/>
    <w:rPr>
      <w:b/>
      <w:bCs/>
      <w:sz w:val="20"/>
      <w:szCs w:val="20"/>
    </w:rPr>
  </w:style>
  <w:style w:type="character" w:styleId="Hyperlink">
    <w:name w:val="Hyperlink"/>
    <w:basedOn w:val="DefaultParagraphFont"/>
    <w:uiPriority w:val="99"/>
    <w:unhideWhenUsed/>
    <w:rsid w:val="00661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DC6B10"/>
    <w:rPr>
      <w:sz w:val="16"/>
      <w:szCs w:val="16"/>
    </w:rPr>
  </w:style>
  <w:style w:type="paragraph" w:styleId="CommentText">
    <w:name w:val="annotation text"/>
    <w:basedOn w:val="Normal"/>
    <w:link w:val="CommentTextChar"/>
    <w:uiPriority w:val="99"/>
    <w:semiHidden/>
    <w:unhideWhenUsed/>
    <w:rsid w:val="00DC6B10"/>
    <w:pPr>
      <w:spacing w:line="240" w:lineRule="auto"/>
    </w:pPr>
    <w:rPr>
      <w:sz w:val="20"/>
      <w:szCs w:val="20"/>
    </w:rPr>
  </w:style>
  <w:style w:type="character" w:customStyle="1" w:styleId="CommentTextChar">
    <w:name w:val="Comment Text Char"/>
    <w:basedOn w:val="DefaultParagraphFont"/>
    <w:link w:val="CommentText"/>
    <w:uiPriority w:val="99"/>
    <w:semiHidden/>
    <w:rsid w:val="00DC6B10"/>
    <w:rPr>
      <w:sz w:val="20"/>
      <w:szCs w:val="20"/>
    </w:rPr>
  </w:style>
  <w:style w:type="paragraph" w:styleId="CommentSubject">
    <w:name w:val="annotation subject"/>
    <w:basedOn w:val="CommentText"/>
    <w:next w:val="CommentText"/>
    <w:link w:val="CommentSubjectChar"/>
    <w:uiPriority w:val="99"/>
    <w:semiHidden/>
    <w:unhideWhenUsed/>
    <w:rsid w:val="00DC6B10"/>
    <w:rPr>
      <w:b/>
      <w:bCs/>
    </w:rPr>
  </w:style>
  <w:style w:type="character" w:customStyle="1" w:styleId="CommentSubjectChar">
    <w:name w:val="Comment Subject Char"/>
    <w:basedOn w:val="CommentTextChar"/>
    <w:link w:val="CommentSubject"/>
    <w:uiPriority w:val="99"/>
    <w:semiHidden/>
    <w:rsid w:val="00DC6B10"/>
    <w:rPr>
      <w:b/>
      <w:bCs/>
      <w:sz w:val="20"/>
      <w:szCs w:val="20"/>
    </w:rPr>
  </w:style>
  <w:style w:type="character" w:styleId="Hyperlink">
    <w:name w:val="Hyperlink"/>
    <w:basedOn w:val="DefaultParagraphFont"/>
    <w:uiPriority w:val="99"/>
    <w:unhideWhenUsed/>
    <w:rsid w:val="006613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8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esthetists.org/Quick-Reference-Hand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736D-2D38-4EEB-A861-FD8B7493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7</cp:revision>
  <cp:lastPrinted>2015-12-31T12:57:00Z</cp:lastPrinted>
  <dcterms:created xsi:type="dcterms:W3CDTF">2019-08-15T12:37:00Z</dcterms:created>
  <dcterms:modified xsi:type="dcterms:W3CDTF">2019-08-22T20:29:00Z</dcterms:modified>
</cp:coreProperties>
</file>