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7B1D53" w:rsidTr="007B1D53">
        <w:tc>
          <w:tcPr>
            <w:tcW w:w="15614" w:type="dxa"/>
            <w:tcBorders>
              <w:bottom w:val="single" w:sz="4" w:space="0" w:color="auto"/>
            </w:tcBorders>
          </w:tcPr>
          <w:p w:rsidR="007B1D53" w:rsidRDefault="005D4188" w:rsidP="002D55C0">
            <w:r>
              <w:rPr>
                <w:color w:val="A6A6A6" w:themeColor="background1" w:themeShade="A6"/>
                <w:sz w:val="56"/>
              </w:rPr>
              <w:t>3-2</w:t>
            </w:r>
            <w:r w:rsidR="00D77B5D">
              <w:rPr>
                <w:color w:val="A6A6A6" w:themeColor="background1" w:themeShade="A6"/>
                <w:sz w:val="56"/>
              </w:rPr>
              <w:t xml:space="preserve"> </w:t>
            </w:r>
            <w:r w:rsidR="00D77B5D">
              <w:rPr>
                <w:sz w:val="56"/>
              </w:rPr>
              <w:t>Massive blood loss</w:t>
            </w:r>
            <w:r w:rsidR="00DD2424">
              <w:rPr>
                <w:sz w:val="56"/>
              </w:rPr>
              <w:t xml:space="preserve"> </w:t>
            </w:r>
            <w:r w:rsidR="002C7BF2">
              <w:t>v.</w:t>
            </w:r>
            <w:r w:rsidR="002D55C0">
              <w:t xml:space="preserve">2 </w:t>
            </w:r>
            <w:bookmarkStart w:id="0" w:name="_GoBack"/>
            <w:bookmarkEnd w:id="0"/>
          </w:p>
        </w:tc>
      </w:tr>
      <w:tr w:rsidR="007B1D53" w:rsidTr="007B1D53">
        <w:tc>
          <w:tcPr>
            <w:tcW w:w="15614" w:type="dxa"/>
            <w:tcBorders>
              <w:top w:val="single" w:sz="4" w:space="0" w:color="auto"/>
              <w:bottom w:val="single" w:sz="4" w:space="0" w:color="auto"/>
            </w:tcBorders>
          </w:tcPr>
          <w:p w:rsidR="00B0440C" w:rsidRDefault="00AF4896" w:rsidP="00B0440C">
            <w:r>
              <w:t xml:space="preserve">Expected or unexpected </w:t>
            </w:r>
            <w:r w:rsidR="007D42DA">
              <w:t>major haem</w:t>
            </w:r>
            <w:r w:rsidR="00DB1F8A">
              <w:t>orrhage</w:t>
            </w:r>
            <w:r w:rsidR="00827C0E">
              <w:t>.</w:t>
            </w:r>
          </w:p>
        </w:tc>
      </w:tr>
    </w:tbl>
    <w:p w:rsidR="009266E8" w:rsidRDefault="0012298F">
      <w:r>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9.8pt;margin-top:22.6pt;width:430.3pt;height:3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BzIwIAAB4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" stroked="f">
            <v:textbox>
              <w:txbxContent>
                <w:p w:rsidR="00A152EC" w:rsidRPr="00136000" w:rsidRDefault="00A152EC"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A152EC" w:rsidRPr="00DE25E3" w:rsidRDefault="00A152EC" w:rsidP="00E7502D">
                  <w:pPr>
                    <w:spacing w:after="0"/>
                  </w:pPr>
                  <w:r>
                    <w:rPr>
                      <w:rFonts w:cstheme="minorHAnsi"/>
                    </w:rPr>
                    <w:t xml:space="preserve">❶ </w:t>
                  </w:r>
                  <w:r>
                    <w:t>Call for</w:t>
                  </w:r>
                  <w:r w:rsidRPr="00DE25E3">
                    <w:t xml:space="preserve"> help</w:t>
                  </w:r>
                  <w:r>
                    <w:t>, i</w:t>
                  </w:r>
                  <w:r>
                    <w:rPr>
                      <w:rFonts w:cstheme="minorHAnsi"/>
                    </w:rPr>
                    <w:t>nform</w:t>
                  </w:r>
                  <w:r>
                    <w:t xml:space="preserve"> theatre team of problem </w:t>
                  </w:r>
                  <w:r w:rsidRPr="00DE25E3">
                    <w:rPr>
                      <w:rFonts w:cs="Calibri"/>
                      <w:color w:val="000000"/>
                      <w:sz w:val="20"/>
                      <w:szCs w:val="20"/>
                    </w:rPr>
                    <w:t>and note the time</w:t>
                  </w:r>
                  <w:r>
                    <w:rPr>
                      <w:rFonts w:cs="Calibri"/>
                      <w:color w:val="000000"/>
                      <w:sz w:val="20"/>
                      <w:szCs w:val="20"/>
                    </w:rPr>
                    <w:t>.</w:t>
                  </w:r>
                </w:p>
                <w:p w:rsidR="00A152EC" w:rsidRDefault="008031AF" w:rsidP="00E7502D">
                  <w:pPr>
                    <w:spacing w:after="0"/>
                  </w:pPr>
                  <w:r w:rsidRPr="00DE25E3">
                    <w:rPr>
                      <w:rFonts w:cstheme="minorHAnsi"/>
                    </w:rPr>
                    <w:t>❷</w:t>
                  </w:r>
                  <w:r>
                    <w:rPr>
                      <w:rFonts w:cstheme="minorHAnsi"/>
                    </w:rPr>
                    <w:t xml:space="preserve"> </w:t>
                  </w:r>
                  <w:r w:rsidR="00A152EC">
                    <w:t>Increase Fi</w:t>
                  </w:r>
                  <w:r w:rsidR="00A41BE9">
                    <w:t>O</w:t>
                  </w:r>
                  <w:r w:rsidR="00A152EC" w:rsidRPr="007B1596">
                    <w:rPr>
                      <w:vertAlign w:val="subscript"/>
                    </w:rPr>
                    <w:t>2</w:t>
                  </w:r>
                  <w:r w:rsidR="00A152EC">
                    <w:rPr>
                      <w:vertAlign w:val="subscript"/>
                    </w:rPr>
                    <w:t xml:space="preserve"> </w:t>
                  </w:r>
                  <w:r w:rsidR="00A152EC">
                    <w:t>and consider cautiously reducing inhalational/intravenous anaesthetics</w:t>
                  </w:r>
                  <w:r w:rsidR="00A41BE9">
                    <w:t>.</w:t>
                  </w:r>
                </w:p>
                <w:p w:rsidR="00A152EC" w:rsidRDefault="008031AF" w:rsidP="00E7502D">
                  <w:pPr>
                    <w:spacing w:after="0"/>
                  </w:pPr>
                  <w:r w:rsidRPr="00DE25E3">
                    <w:rPr>
                      <w:rFonts w:cstheme="minorHAnsi"/>
                    </w:rPr>
                    <w:t>❸</w:t>
                  </w:r>
                  <w:r>
                    <w:rPr>
                      <w:rFonts w:cstheme="minorHAnsi"/>
                    </w:rPr>
                    <w:t xml:space="preserve"> </w:t>
                  </w:r>
                  <w:r w:rsidR="00A152EC">
                    <w:t>Chec</w:t>
                  </w:r>
                  <w:r w:rsidR="00827C0E">
                    <w:t>k and expose intravenous access</w:t>
                  </w:r>
                  <w:r w:rsidR="00A41BE9">
                    <w:t>.</w:t>
                  </w:r>
                </w:p>
                <w:p w:rsidR="00A152EC" w:rsidRPr="007B1596" w:rsidRDefault="008031AF" w:rsidP="00E7502D">
                  <w:pPr>
                    <w:spacing w:after="0"/>
                  </w:pPr>
                  <w:proofErr w:type="gramStart"/>
                  <w:r>
                    <w:rPr>
                      <w:rFonts w:cstheme="minorHAnsi"/>
                    </w:rPr>
                    <w:t xml:space="preserve">❹ </w:t>
                  </w:r>
                  <w:r w:rsidR="00A152EC">
                    <w:rPr>
                      <w:rFonts w:cstheme="minorHAnsi"/>
                    </w:rPr>
                    <w:t xml:space="preserve">Control any obvious bleeding (pressure, </w:t>
                  </w:r>
                  <w:proofErr w:type="spellStart"/>
                  <w:r w:rsidR="00EA28C0">
                    <w:rPr>
                      <w:rFonts w:cstheme="minorHAnsi"/>
                    </w:rPr>
                    <w:t>uterotonics</w:t>
                  </w:r>
                  <w:proofErr w:type="spellEnd"/>
                  <w:r w:rsidR="00EA28C0">
                    <w:rPr>
                      <w:rFonts w:cstheme="minorHAnsi"/>
                    </w:rPr>
                    <w:t xml:space="preserve">, </w:t>
                  </w:r>
                  <w:r w:rsidR="00A152EC">
                    <w:rPr>
                      <w:rFonts w:cstheme="minorHAnsi"/>
                    </w:rPr>
                    <w:t>tourniquet, haemostatic dressings)</w:t>
                  </w:r>
                  <w:r w:rsidR="00A41BE9">
                    <w:rPr>
                      <w:rFonts w:cstheme="minorHAnsi"/>
                    </w:rPr>
                    <w:t>.</w:t>
                  </w:r>
                  <w:proofErr w:type="gramEnd"/>
                </w:p>
                <w:p w:rsidR="00A152EC" w:rsidRDefault="008031AF" w:rsidP="00E7502D">
                  <w:pPr>
                    <w:spacing w:after="0"/>
                  </w:pPr>
                  <w:r>
                    <w:rPr>
                      <w:rFonts w:cstheme="minorHAnsi"/>
                    </w:rPr>
                    <w:t xml:space="preserve">❺ </w:t>
                  </w:r>
                  <w:r w:rsidR="00A152EC">
                    <w:rPr>
                      <w:rFonts w:cstheme="minorHAnsi"/>
                    </w:rPr>
                    <w:t xml:space="preserve">Call blood bank (and assign one person in theatre to </w:t>
                  </w:r>
                  <w:proofErr w:type="spellStart"/>
                  <w:r w:rsidR="00A152EC">
                    <w:rPr>
                      <w:rFonts w:cstheme="minorHAnsi"/>
                    </w:rPr>
                    <w:t>liase</w:t>
                  </w:r>
                  <w:proofErr w:type="spellEnd"/>
                  <w:r w:rsidR="00A152EC">
                    <w:rPr>
                      <w:rFonts w:cstheme="minorHAnsi"/>
                    </w:rPr>
                    <w:t xml:space="preserve"> with them):</w:t>
                  </w:r>
                </w:p>
                <w:p w:rsidR="00A152EC" w:rsidRDefault="00A152EC" w:rsidP="00E7502D">
                  <w:pPr>
                    <w:pStyle w:val="ListParagraph"/>
                    <w:numPr>
                      <w:ilvl w:val="0"/>
                      <w:numId w:val="17"/>
                    </w:numPr>
                    <w:spacing w:after="0"/>
                  </w:pPr>
                  <w:r>
                    <w:t>Activate major haemorrhage protocol</w:t>
                  </w:r>
                  <w:r w:rsidR="00A41BE9">
                    <w:t>.</w:t>
                  </w:r>
                </w:p>
                <w:p w:rsidR="00A152EC" w:rsidRDefault="00A152EC" w:rsidP="00E7502D">
                  <w:pPr>
                    <w:pStyle w:val="ListParagraph"/>
                    <w:numPr>
                      <w:ilvl w:val="0"/>
                      <w:numId w:val="17"/>
                    </w:numPr>
                    <w:spacing w:after="0"/>
                  </w:pPr>
                  <w:r>
                    <w:t>Communicate how quickly blood is required</w:t>
                  </w:r>
                  <w:r w:rsidR="00A41BE9">
                    <w:t>.</w:t>
                  </w:r>
                </w:p>
                <w:p w:rsidR="00A152EC" w:rsidRPr="00A66A79" w:rsidRDefault="00A152EC" w:rsidP="00A66A79">
                  <w:pPr>
                    <w:pStyle w:val="ListParagraph"/>
                    <w:numPr>
                      <w:ilvl w:val="0"/>
                      <w:numId w:val="17"/>
                    </w:numPr>
                    <w:spacing w:after="0"/>
                    <w:rPr>
                      <w:rFonts w:cstheme="minorHAnsi"/>
                    </w:rPr>
                  </w:pPr>
                  <w:r>
                    <w:t>Communicate how much bloo</w:t>
                  </w:r>
                  <w:r w:rsidR="00A41BE9">
                    <w:t>d and blood product is required.</w:t>
                  </w:r>
                </w:p>
                <w:p w:rsidR="00A152EC" w:rsidRPr="0082419A" w:rsidRDefault="008031AF" w:rsidP="00A66A79">
                  <w:pPr>
                    <w:spacing w:after="0"/>
                    <w:rPr>
                      <w:rFonts w:cstheme="minorHAnsi"/>
                    </w:rPr>
                  </w:pPr>
                  <w:r w:rsidRPr="00DE25E3">
                    <w:rPr>
                      <w:rFonts w:cstheme="minorHAnsi"/>
                    </w:rPr>
                    <w:t>❻</w:t>
                  </w:r>
                  <w:r>
                    <w:rPr>
                      <w:rFonts w:cstheme="minorHAnsi"/>
                    </w:rPr>
                    <w:t xml:space="preserve"> </w:t>
                  </w:r>
                  <w:r w:rsidR="00A41BE9">
                    <w:rPr>
                      <w:rFonts w:cstheme="minorHAnsi"/>
                    </w:rPr>
                    <w:t>Begin active patient warming.</w:t>
                  </w:r>
                </w:p>
                <w:p w:rsidR="00A152EC" w:rsidRDefault="008031AF" w:rsidP="00E7502D">
                  <w:pPr>
                    <w:spacing w:after="0"/>
                  </w:pPr>
                  <w:r>
                    <w:rPr>
                      <w:rFonts w:cstheme="minorHAnsi"/>
                    </w:rPr>
                    <w:t xml:space="preserve">❼ </w:t>
                  </w:r>
                  <w:r w:rsidR="00A152EC">
                    <w:rPr>
                      <w:rFonts w:cstheme="minorHAnsi"/>
                    </w:rPr>
                    <w:t>Use</w:t>
                  </w:r>
                  <w:r w:rsidR="00A152EC" w:rsidRPr="00D5393A">
                    <w:t xml:space="preserve"> </w:t>
                  </w:r>
                  <w:r w:rsidR="00A152EC">
                    <w:t>rapid infusion and fluid warming equipment</w:t>
                  </w:r>
                  <w:r w:rsidR="00A41BE9">
                    <w:t>.</w:t>
                  </w:r>
                </w:p>
                <w:p w:rsidR="00A152EC" w:rsidRDefault="008031AF" w:rsidP="00A152EC">
                  <w:pPr>
                    <w:spacing w:after="0"/>
                  </w:pPr>
                  <w:r>
                    <w:rPr>
                      <w:rFonts w:cstheme="minorHAnsi"/>
                    </w:rPr>
                    <w:t xml:space="preserve">❽ </w:t>
                  </w:r>
                  <w:r w:rsidR="00A152EC">
                    <w:t>Discuss management plan between surgical, anaesthetic and nursing teams</w:t>
                  </w:r>
                  <w:r w:rsidR="00A41BE9">
                    <w:t>:</w:t>
                  </w:r>
                </w:p>
                <w:p w:rsidR="00A152EC" w:rsidRDefault="00A152EC" w:rsidP="00A152EC">
                  <w:pPr>
                    <w:pStyle w:val="ListParagraph"/>
                    <w:numPr>
                      <w:ilvl w:val="0"/>
                      <w:numId w:val="16"/>
                    </w:numPr>
                    <w:spacing w:after="0"/>
                  </w:pPr>
                  <w:r>
                    <w:t>Liaise with haematologist if necessary (Box A)</w:t>
                  </w:r>
                  <w:r w:rsidR="00A41BE9">
                    <w:t>.</w:t>
                  </w:r>
                </w:p>
                <w:p w:rsidR="00A152EC" w:rsidRDefault="00A152EC" w:rsidP="00A152EC">
                  <w:pPr>
                    <w:pStyle w:val="ListParagraph"/>
                    <w:numPr>
                      <w:ilvl w:val="0"/>
                      <w:numId w:val="16"/>
                    </w:numPr>
                    <w:spacing w:after="0"/>
                  </w:pPr>
                  <w:r>
                    <w:t>Consider interventional radiology</w:t>
                  </w:r>
                  <w:r w:rsidR="00A41BE9">
                    <w:t>.</w:t>
                  </w:r>
                </w:p>
                <w:p w:rsidR="00A152EC" w:rsidRDefault="00A152EC" w:rsidP="00E7502D">
                  <w:pPr>
                    <w:pStyle w:val="ListParagraph"/>
                    <w:numPr>
                      <w:ilvl w:val="0"/>
                      <w:numId w:val="16"/>
                    </w:numPr>
                    <w:spacing w:after="0"/>
                  </w:pPr>
                  <w:r>
                    <w:t>Consider use of cell salvage equipment</w:t>
                  </w:r>
                  <w:r w:rsidR="00A41BE9">
                    <w:t>.</w:t>
                  </w:r>
                </w:p>
                <w:p w:rsidR="00A152EC" w:rsidRDefault="008031AF" w:rsidP="00A152EC">
                  <w:pPr>
                    <w:spacing w:after="0"/>
                    <w:rPr>
                      <w:rFonts w:cstheme="minorHAnsi"/>
                    </w:rPr>
                  </w:pPr>
                  <w:r>
                    <w:rPr>
                      <w:rFonts w:cstheme="minorHAnsi"/>
                      <w:b/>
                    </w:rPr>
                    <w:t xml:space="preserve">❾ </w:t>
                  </w:r>
                  <w:r w:rsidR="00A152EC">
                    <w:rPr>
                      <w:rFonts w:cstheme="minorHAnsi"/>
                    </w:rPr>
                    <w:t>Monitor progress</w:t>
                  </w:r>
                  <w:r w:rsidR="00A41BE9">
                    <w:rPr>
                      <w:rFonts w:cstheme="minorHAnsi"/>
                    </w:rPr>
                    <w:t>:</w:t>
                  </w:r>
                </w:p>
                <w:p w:rsidR="00A152EC" w:rsidRPr="00A152EC" w:rsidRDefault="00EA28C0" w:rsidP="00A152EC">
                  <w:pPr>
                    <w:pStyle w:val="ListParagraph"/>
                    <w:numPr>
                      <w:ilvl w:val="0"/>
                      <w:numId w:val="19"/>
                    </w:numPr>
                    <w:spacing w:after="0"/>
                  </w:pPr>
                  <w:r>
                    <w:rPr>
                      <w:rFonts w:cstheme="minorHAnsi"/>
                    </w:rPr>
                    <w:t>Use point of care testing: Hb, lactate, c</w:t>
                  </w:r>
                  <w:r w:rsidR="00A152EC" w:rsidRPr="00A152EC">
                    <w:rPr>
                      <w:rFonts w:cstheme="minorHAnsi"/>
                    </w:rPr>
                    <w:t xml:space="preserve">oagulation, etc. </w:t>
                  </w:r>
                </w:p>
                <w:p w:rsidR="00A152EC" w:rsidRDefault="00EA28C0" w:rsidP="00A152EC">
                  <w:pPr>
                    <w:pStyle w:val="ListParagraph"/>
                    <w:numPr>
                      <w:ilvl w:val="0"/>
                      <w:numId w:val="19"/>
                    </w:numPr>
                    <w:spacing w:after="0"/>
                  </w:pPr>
                  <w:r>
                    <w:rPr>
                      <w:rFonts w:cstheme="minorHAnsi"/>
                    </w:rPr>
                    <w:t>Use lab testing: including calcium and f</w:t>
                  </w:r>
                  <w:r w:rsidR="00A152EC" w:rsidRPr="00A152EC">
                    <w:rPr>
                      <w:rFonts w:cstheme="minorHAnsi"/>
                    </w:rPr>
                    <w:t>ibrinogen</w:t>
                  </w:r>
                  <w:r w:rsidR="00A41BE9">
                    <w:rPr>
                      <w:rFonts w:cstheme="minorHAnsi"/>
                    </w:rPr>
                    <w:t>.</w:t>
                  </w:r>
                </w:p>
                <w:p w:rsidR="00A152EC" w:rsidRPr="00E7502D" w:rsidRDefault="008031AF" w:rsidP="00A66A79">
                  <w:pPr>
                    <w:spacing w:after="0"/>
                    <w:rPr>
                      <w:rFonts w:cstheme="minorHAnsi"/>
                    </w:rPr>
                  </w:pPr>
                  <w:r>
                    <w:rPr>
                      <w:rFonts w:cstheme="minorHAnsi"/>
                    </w:rPr>
                    <w:t xml:space="preserve">❿ </w:t>
                  </w:r>
                  <w:r w:rsidR="00EA28C0">
                    <w:rPr>
                      <w:rFonts w:cstheme="minorHAnsi"/>
                    </w:rPr>
                    <w:t>Replace calcium and consider giving tranexamic a</w:t>
                  </w:r>
                  <w:r w:rsidR="00A152EC">
                    <w:rPr>
                      <w:rFonts w:cstheme="minorHAnsi"/>
                    </w:rPr>
                    <w:t>cid (Box C)</w:t>
                  </w:r>
                  <w:r w:rsidR="00A41BE9">
                    <w:rPr>
                      <w:rFonts w:cstheme="minorHAnsi"/>
                    </w:rPr>
                    <w:t>.</w:t>
                  </w:r>
                </w:p>
                <w:p w:rsidR="00A152EC" w:rsidRDefault="008031AF" w:rsidP="00E7502D">
                  <w:pPr>
                    <w:spacing w:after="0"/>
                    <w:rPr>
                      <w:rFonts w:cstheme="minorHAnsi"/>
                    </w:rPr>
                  </w:pPr>
                  <w:r>
                    <w:rPr>
                      <w:rFonts w:cstheme="minorHAnsi"/>
                    </w:rPr>
                    <w:t xml:space="preserve">⓫ </w:t>
                  </w:r>
                  <w:proofErr w:type="gramStart"/>
                  <w:r w:rsidR="00A152EC">
                    <w:rPr>
                      <w:rFonts w:cstheme="minorHAnsi"/>
                    </w:rPr>
                    <w:t>If</w:t>
                  </w:r>
                  <w:proofErr w:type="gramEnd"/>
                  <w:r w:rsidR="00A152EC">
                    <w:rPr>
                      <w:rFonts w:cstheme="minorHAnsi"/>
                    </w:rPr>
                    <w:t xml:space="preserve"> bleeding continues consider giving recombinant factor </w:t>
                  </w:r>
                  <w:proofErr w:type="spellStart"/>
                  <w:r w:rsidR="00A152EC">
                    <w:rPr>
                      <w:rFonts w:cstheme="minorHAnsi"/>
                    </w:rPr>
                    <w:t>VIIa</w:t>
                  </w:r>
                  <w:proofErr w:type="spellEnd"/>
                  <w:r w:rsidR="00A152EC">
                    <w:rPr>
                      <w:rFonts w:cstheme="minorHAnsi"/>
                    </w:rPr>
                    <w:t xml:space="preserve">: </w:t>
                  </w:r>
                  <w:proofErr w:type="spellStart"/>
                  <w:r w:rsidR="00A152EC">
                    <w:rPr>
                      <w:rFonts w:cstheme="minorHAnsi"/>
                    </w:rPr>
                    <w:t>liase</w:t>
                  </w:r>
                  <w:proofErr w:type="spellEnd"/>
                  <w:r w:rsidR="00A152EC">
                    <w:rPr>
                      <w:rFonts w:cstheme="minorHAnsi"/>
                    </w:rPr>
                    <w:t xml:space="preserve"> with haematologist</w:t>
                  </w:r>
                  <w:r w:rsidR="00A41BE9">
                    <w:rPr>
                      <w:rFonts w:cstheme="minorHAnsi"/>
                    </w:rPr>
                    <w:t>.</w:t>
                  </w:r>
                </w:p>
                <w:p w:rsidR="00A152EC" w:rsidRDefault="008031AF" w:rsidP="00A152EC">
                  <w:pPr>
                    <w:spacing w:after="0"/>
                    <w:rPr>
                      <w:rFonts w:cstheme="minorHAnsi"/>
                    </w:rPr>
                  </w:pPr>
                  <w:proofErr w:type="gramStart"/>
                  <w:r w:rsidRPr="00A66A79">
                    <w:rPr>
                      <w:rFonts w:cstheme="minorHAnsi"/>
                    </w:rPr>
                    <w:t>⓬</w:t>
                  </w:r>
                  <w:r>
                    <w:rPr>
                      <w:rFonts w:cstheme="minorHAnsi"/>
                    </w:rPr>
                    <w:t xml:space="preserve"> </w:t>
                  </w:r>
                  <w:r w:rsidR="00A152EC">
                    <w:rPr>
                      <w:rFonts w:cstheme="minorHAnsi"/>
                    </w:rPr>
                    <w:t>Plan ongoing care in an appropriate clinical area</w:t>
                  </w:r>
                  <w:r w:rsidR="00A41BE9">
                    <w:rPr>
                      <w:rFonts w:cstheme="minorHAnsi"/>
                    </w:rPr>
                    <w:t>.</w:t>
                  </w:r>
                  <w:proofErr w:type="gramEnd"/>
                </w:p>
                <w:p w:rsidR="00A152EC" w:rsidRDefault="00A152EC" w:rsidP="00E7502D">
                  <w:pPr>
                    <w:spacing w:after="0"/>
                    <w:rPr>
                      <w:rFonts w:cstheme="minorHAnsi"/>
                    </w:rPr>
                  </w:pPr>
                </w:p>
                <w:p w:rsidR="00A152EC" w:rsidRPr="0068039E" w:rsidRDefault="00A152EC" w:rsidP="0094292D">
                  <w:pPr>
                    <w:rPr>
                      <w:rFonts w:cstheme="minorHAnsi"/>
                    </w:rPr>
                  </w:pPr>
                </w:p>
              </w:txbxContent>
            </v:textbox>
          </v:shape>
        </w:pict>
      </w:r>
    </w:p>
    <w:tbl>
      <w:tblPr>
        <w:tblStyle w:val="LightList"/>
        <w:tblpPr w:leftFromText="180" w:rightFromText="180" w:vertAnchor="text" w:horzAnchor="margin" w:tblpXSpec="right" w:tblpY="11"/>
        <w:tblW w:w="6555" w:type="dxa"/>
        <w:tblLook w:val="04A0" w:firstRow="1" w:lastRow="0" w:firstColumn="1" w:lastColumn="0" w:noHBand="0" w:noVBand="1"/>
      </w:tblPr>
      <w:tblGrid>
        <w:gridCol w:w="6555"/>
      </w:tblGrid>
      <w:tr w:rsidR="00E7502D" w:rsidTr="00E7502D">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55" w:type="dxa"/>
          </w:tcPr>
          <w:p w:rsidR="00E7502D" w:rsidRDefault="00E7502D" w:rsidP="00E7502D">
            <w:r>
              <w:t>Box A: SPECIAL CASES</w:t>
            </w:r>
          </w:p>
        </w:tc>
      </w:tr>
      <w:tr w:rsidR="00E7502D" w:rsidTr="00E7502D">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6555" w:type="dxa"/>
          </w:tcPr>
          <w:p w:rsidR="00E7502D" w:rsidRDefault="00E7502D" w:rsidP="00E7502D">
            <w:pPr>
              <w:rPr>
                <w:b w:val="0"/>
              </w:rPr>
            </w:pPr>
            <w:r>
              <w:rPr>
                <w:b w:val="0"/>
              </w:rPr>
              <w:t>Seek advice from haematologist if:</w:t>
            </w:r>
          </w:p>
          <w:p w:rsidR="00E7502D" w:rsidRPr="00E7502D" w:rsidRDefault="00E7502D" w:rsidP="00E7502D">
            <w:pPr>
              <w:pStyle w:val="ListParagraph"/>
              <w:numPr>
                <w:ilvl w:val="0"/>
                <w:numId w:val="10"/>
              </w:numPr>
              <w:rPr>
                <w:b w:val="0"/>
              </w:rPr>
            </w:pPr>
            <w:r w:rsidRPr="00E7502D">
              <w:rPr>
                <w:b w:val="0"/>
              </w:rPr>
              <w:t>Non-surgical</w:t>
            </w:r>
            <w:r w:rsidR="00782930">
              <w:rPr>
                <w:b w:val="0"/>
              </w:rPr>
              <w:t xml:space="preserve"> uncontrolled bleeding despite P</w:t>
            </w:r>
            <w:r w:rsidRPr="00E7502D">
              <w:rPr>
                <w:b w:val="0"/>
              </w:rPr>
              <w:t>RBC</w:t>
            </w:r>
            <w:r w:rsidR="00782930">
              <w:rPr>
                <w:b w:val="0"/>
              </w:rPr>
              <w:t>s</w:t>
            </w:r>
            <w:r w:rsidRPr="00E7502D">
              <w:rPr>
                <w:b w:val="0"/>
              </w:rPr>
              <w:t>/FFP/platelets</w:t>
            </w:r>
          </w:p>
          <w:p w:rsidR="00E7502D" w:rsidRPr="00E7502D" w:rsidRDefault="00E7502D" w:rsidP="00E7502D">
            <w:pPr>
              <w:pStyle w:val="ListParagraph"/>
              <w:numPr>
                <w:ilvl w:val="0"/>
                <w:numId w:val="10"/>
              </w:numPr>
              <w:rPr>
                <w:b w:val="0"/>
              </w:rPr>
            </w:pPr>
            <w:r w:rsidRPr="00E7502D">
              <w:rPr>
                <w:b w:val="0"/>
              </w:rPr>
              <w:t>Warfarin overdose</w:t>
            </w:r>
          </w:p>
          <w:p w:rsidR="00E7502D" w:rsidRPr="00E7502D" w:rsidRDefault="00782930" w:rsidP="00E7502D">
            <w:pPr>
              <w:pStyle w:val="ListParagraph"/>
              <w:numPr>
                <w:ilvl w:val="0"/>
                <w:numId w:val="10"/>
              </w:numPr>
              <w:rPr>
                <w:b w:val="0"/>
              </w:rPr>
            </w:pPr>
            <w:r>
              <w:rPr>
                <w:b w:val="0"/>
              </w:rPr>
              <w:t>Newer oral anticoagulants (</w:t>
            </w:r>
            <w:proofErr w:type="spellStart"/>
            <w:r>
              <w:rPr>
                <w:b w:val="0"/>
              </w:rPr>
              <w:t>eg</w:t>
            </w:r>
            <w:proofErr w:type="spellEnd"/>
            <w:r>
              <w:rPr>
                <w:b w:val="0"/>
              </w:rPr>
              <w:t xml:space="preserve"> dabigatran/ri</w:t>
            </w:r>
            <w:r w:rsidR="00E7502D" w:rsidRPr="00E7502D">
              <w:rPr>
                <w:b w:val="0"/>
              </w:rPr>
              <w:t>varoxaban)</w:t>
            </w:r>
          </w:p>
          <w:p w:rsidR="00E7502D" w:rsidRPr="00FB7E2D" w:rsidRDefault="00E7502D" w:rsidP="00E7502D">
            <w:pPr>
              <w:pStyle w:val="ListParagraph"/>
              <w:numPr>
                <w:ilvl w:val="0"/>
                <w:numId w:val="10"/>
              </w:numPr>
              <w:rPr>
                <w:b w:val="0"/>
              </w:rPr>
            </w:pPr>
            <w:r w:rsidRPr="00E7502D">
              <w:rPr>
                <w:b w:val="0"/>
              </w:rPr>
              <w:t>Inherited bleeding disorder (</w:t>
            </w:r>
            <w:proofErr w:type="spellStart"/>
            <w:r w:rsidRPr="00E7502D">
              <w:rPr>
                <w:b w:val="0"/>
              </w:rPr>
              <w:t>eg</w:t>
            </w:r>
            <w:proofErr w:type="spellEnd"/>
            <w:r w:rsidRPr="00E7502D">
              <w:rPr>
                <w:b w:val="0"/>
              </w:rPr>
              <w:t xml:space="preserve"> haemophilia, von </w:t>
            </w:r>
            <w:proofErr w:type="spellStart"/>
            <w:r w:rsidRPr="00E7502D">
              <w:rPr>
                <w:b w:val="0"/>
              </w:rPr>
              <w:t>Willebrand</w:t>
            </w:r>
            <w:proofErr w:type="spellEnd"/>
            <w:r w:rsidRPr="00E7502D">
              <w:rPr>
                <w:b w:val="0"/>
              </w:rPr>
              <w:t xml:space="preserve"> disease)</w:t>
            </w:r>
          </w:p>
        </w:tc>
      </w:tr>
    </w:tbl>
    <w:p w:rsidR="00042F42" w:rsidRDefault="00042F42"/>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270"/>
        <w:tblW w:w="6549" w:type="dxa"/>
        <w:tblLook w:val="04A0" w:firstRow="1" w:lastRow="0" w:firstColumn="1" w:lastColumn="0" w:noHBand="0" w:noVBand="1"/>
      </w:tblPr>
      <w:tblGrid>
        <w:gridCol w:w="6549"/>
      </w:tblGrid>
      <w:tr w:rsidR="00E7502D" w:rsidTr="00E75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9" w:type="dxa"/>
          </w:tcPr>
          <w:p w:rsidR="00E7502D" w:rsidRDefault="00E7502D" w:rsidP="00E7502D">
            <w:r>
              <w:t>Box B: TRANSFUSION GOALS</w:t>
            </w:r>
          </w:p>
        </w:tc>
      </w:tr>
      <w:tr w:rsidR="00E7502D" w:rsidTr="00E7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9" w:type="dxa"/>
          </w:tcPr>
          <w:p w:rsidR="00E7502D" w:rsidRPr="007A41C2" w:rsidRDefault="00EA28C0" w:rsidP="00E7502D">
            <w:pPr>
              <w:pStyle w:val="ListParagraph"/>
              <w:numPr>
                <w:ilvl w:val="0"/>
                <w:numId w:val="11"/>
              </w:numPr>
              <w:rPr>
                <w:b w:val="0"/>
              </w:rPr>
            </w:pPr>
            <w:r>
              <w:t>Maintain Hb &gt; 80 g.l</w:t>
            </w:r>
            <w:r w:rsidRPr="00EA28C0">
              <w:rPr>
                <w:vertAlign w:val="superscript"/>
              </w:rPr>
              <w:t>-1</w:t>
            </w:r>
          </w:p>
          <w:p w:rsidR="00E7502D" w:rsidRPr="007A41C2" w:rsidRDefault="00E7502D" w:rsidP="00E7502D">
            <w:pPr>
              <w:pStyle w:val="ListParagraph"/>
              <w:numPr>
                <w:ilvl w:val="0"/>
                <w:numId w:val="11"/>
              </w:numPr>
              <w:rPr>
                <w:b w:val="0"/>
              </w:rPr>
            </w:pPr>
            <w:r>
              <w:t>Maintain platelet count &gt; 75x10</w:t>
            </w:r>
            <w:r w:rsidRPr="00500C80">
              <w:rPr>
                <w:vertAlign w:val="superscript"/>
              </w:rPr>
              <w:t>9</w:t>
            </w:r>
            <w:r w:rsidR="00EA28C0">
              <w:rPr>
                <w:vertAlign w:val="superscript"/>
              </w:rPr>
              <w:t xml:space="preserve"> </w:t>
            </w:r>
            <w:r w:rsidR="00EA28C0">
              <w:t>l</w:t>
            </w:r>
            <w:r w:rsidR="00EA28C0" w:rsidRPr="00EA28C0">
              <w:rPr>
                <w:vertAlign w:val="superscript"/>
              </w:rPr>
              <w:t>-1</w:t>
            </w:r>
          </w:p>
          <w:p w:rsidR="00E7502D" w:rsidRDefault="00E7502D" w:rsidP="00E7502D">
            <w:pPr>
              <w:pStyle w:val="ListParagraph"/>
              <w:numPr>
                <w:ilvl w:val="0"/>
                <w:numId w:val="11"/>
              </w:numPr>
            </w:pPr>
            <w:r>
              <w:t xml:space="preserve">Maintain PT and APTT &lt;1.5 x mean control </w:t>
            </w:r>
            <w:r w:rsidRPr="007A41C2">
              <w:rPr>
                <w:b w:val="0"/>
              </w:rPr>
              <w:t>(FFP)</w:t>
            </w:r>
          </w:p>
          <w:p w:rsidR="00E7502D" w:rsidRDefault="00EA28C0" w:rsidP="00E7502D">
            <w:pPr>
              <w:pStyle w:val="ListParagraph"/>
              <w:numPr>
                <w:ilvl w:val="0"/>
                <w:numId w:val="11"/>
              </w:numPr>
            </w:pPr>
            <w:r>
              <w:t>Maintain fibrinogen &gt;1.0 g.l</w:t>
            </w:r>
            <w:r w:rsidRPr="00EA28C0">
              <w:rPr>
                <w:vertAlign w:val="superscript"/>
              </w:rPr>
              <w:t>-1</w:t>
            </w:r>
            <w:r w:rsidR="00E7502D">
              <w:t xml:space="preserve"> </w:t>
            </w:r>
            <w:r w:rsidR="00E7502D" w:rsidRPr="007A41C2">
              <w:rPr>
                <w:b w:val="0"/>
              </w:rPr>
              <w:t>(cryoprecipitate)</w:t>
            </w:r>
          </w:p>
          <w:p w:rsidR="00E7502D" w:rsidRPr="00500C80" w:rsidRDefault="00E7502D" w:rsidP="00E7502D">
            <w:pPr>
              <w:pStyle w:val="ListParagraph"/>
              <w:numPr>
                <w:ilvl w:val="0"/>
                <w:numId w:val="11"/>
              </w:numPr>
            </w:pPr>
            <w:r>
              <w:t xml:space="preserve">Avoid DIC </w:t>
            </w:r>
            <w:r w:rsidR="00782930">
              <w:rPr>
                <w:b w:val="0"/>
              </w:rPr>
              <w:t>(maintain blood pressure</w:t>
            </w:r>
            <w:r w:rsidRPr="007A41C2">
              <w:rPr>
                <w:b w:val="0"/>
              </w:rPr>
              <w:t>, treat/prevent acidosis, avoid hypothermia,</w:t>
            </w:r>
            <w:r>
              <w:rPr>
                <w:b w:val="0"/>
              </w:rPr>
              <w:t xml:space="preserve"> treat hypocalcaemia and hyperkalaemia</w:t>
            </w:r>
            <w:r w:rsidRPr="007A41C2">
              <w:rPr>
                <w:b w:val="0"/>
              </w:rPr>
              <w:t>)</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394"/>
        <w:tblW w:w="6561" w:type="dxa"/>
        <w:tblLook w:val="04A0" w:firstRow="1" w:lastRow="0" w:firstColumn="1" w:lastColumn="0" w:noHBand="0" w:noVBand="1"/>
      </w:tblPr>
      <w:tblGrid>
        <w:gridCol w:w="6561"/>
      </w:tblGrid>
      <w:tr w:rsidR="0089252C" w:rsidRPr="004555AC" w:rsidTr="0089252C">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561" w:type="dxa"/>
          </w:tcPr>
          <w:p w:rsidR="0089252C" w:rsidRPr="004555AC" w:rsidRDefault="0089252C" w:rsidP="0089252C">
            <w:pPr>
              <w:rPr>
                <w:sz w:val="20"/>
                <w:szCs w:val="20"/>
              </w:rPr>
            </w:pPr>
            <w:r>
              <w:rPr>
                <w:szCs w:val="20"/>
              </w:rPr>
              <w:t>Box C: DRUG DOSES</w:t>
            </w:r>
          </w:p>
        </w:tc>
      </w:tr>
      <w:tr w:rsidR="0089252C" w:rsidRPr="004555AC" w:rsidTr="0089252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561" w:type="dxa"/>
            <w:shd w:val="clear" w:color="auto" w:fill="FFFFFF" w:themeFill="background1"/>
          </w:tcPr>
          <w:p w:rsidR="0089252C" w:rsidRPr="002C7BF2" w:rsidRDefault="0089252C" w:rsidP="0089252C">
            <w:pPr>
              <w:rPr>
                <w:b w:val="0"/>
                <w:sz w:val="20"/>
              </w:rPr>
            </w:pPr>
            <w:r w:rsidRPr="002C7BF2">
              <w:rPr>
                <w:sz w:val="20"/>
              </w:rPr>
              <w:t xml:space="preserve">CALCIUM: </w:t>
            </w:r>
            <w:r w:rsidRPr="002C7BF2">
              <w:rPr>
                <w:b w:val="0"/>
                <w:sz w:val="20"/>
              </w:rPr>
              <w:t>(use either the chloride or gluconate)</w:t>
            </w:r>
          </w:p>
          <w:p w:rsidR="0089252C" w:rsidRPr="002C7BF2" w:rsidRDefault="0089252C" w:rsidP="0089252C">
            <w:pPr>
              <w:pStyle w:val="ListParagraph"/>
              <w:numPr>
                <w:ilvl w:val="0"/>
                <w:numId w:val="12"/>
              </w:numPr>
              <w:rPr>
                <w:b w:val="0"/>
                <w:sz w:val="20"/>
              </w:rPr>
            </w:pPr>
            <w:r w:rsidRPr="002C7BF2">
              <w:rPr>
                <w:b w:val="0"/>
                <w:sz w:val="20"/>
              </w:rPr>
              <w:t>Adult: 10</w:t>
            </w:r>
            <w:r w:rsidR="00EA28C0" w:rsidRPr="002C7BF2">
              <w:rPr>
                <w:b w:val="0"/>
                <w:sz w:val="20"/>
              </w:rPr>
              <w:t xml:space="preserve"> ml of 10% calcium chloride </w:t>
            </w:r>
            <w:proofErr w:type="spellStart"/>
            <w:r w:rsidR="00EA28C0" w:rsidRPr="002C7BF2">
              <w:rPr>
                <w:b w:val="0"/>
                <w:sz w:val="20"/>
              </w:rPr>
              <w:t>i.v.</w:t>
            </w:r>
            <w:proofErr w:type="spellEnd"/>
            <w:r w:rsidRPr="002C7BF2">
              <w:rPr>
                <w:b w:val="0"/>
                <w:sz w:val="20"/>
              </w:rPr>
              <w:t xml:space="preserve"> </w:t>
            </w:r>
          </w:p>
          <w:p w:rsidR="0089252C" w:rsidRPr="002C7BF2" w:rsidRDefault="0089252C" w:rsidP="0089252C">
            <w:pPr>
              <w:pStyle w:val="ListParagraph"/>
              <w:numPr>
                <w:ilvl w:val="0"/>
                <w:numId w:val="12"/>
              </w:numPr>
              <w:rPr>
                <w:b w:val="0"/>
                <w:sz w:val="20"/>
              </w:rPr>
            </w:pPr>
            <w:r w:rsidRPr="002C7BF2">
              <w:rPr>
                <w:b w:val="0"/>
                <w:sz w:val="20"/>
              </w:rPr>
              <w:t>Adult: 20</w:t>
            </w:r>
            <w:r w:rsidR="00EA28C0" w:rsidRPr="002C7BF2">
              <w:rPr>
                <w:b w:val="0"/>
                <w:sz w:val="20"/>
              </w:rPr>
              <w:t xml:space="preserve"> </w:t>
            </w:r>
            <w:r w:rsidRPr="002C7BF2">
              <w:rPr>
                <w:b w:val="0"/>
                <w:sz w:val="20"/>
              </w:rPr>
              <w:t xml:space="preserve">ml of 10% calcium gluconate </w:t>
            </w:r>
            <w:proofErr w:type="spellStart"/>
            <w:r w:rsidR="00EA28C0" w:rsidRPr="002C7BF2">
              <w:rPr>
                <w:b w:val="0"/>
                <w:sz w:val="20"/>
              </w:rPr>
              <w:t>i.v.</w:t>
            </w:r>
            <w:proofErr w:type="spellEnd"/>
          </w:p>
          <w:p w:rsidR="0089252C" w:rsidRPr="002C7BF2" w:rsidRDefault="0089252C" w:rsidP="0089252C">
            <w:pPr>
              <w:ind w:left="360"/>
              <w:rPr>
                <w:sz w:val="20"/>
              </w:rPr>
            </w:pPr>
          </w:p>
          <w:p w:rsidR="0089252C" w:rsidRPr="002C7BF2" w:rsidRDefault="0089252C" w:rsidP="0089252C">
            <w:pPr>
              <w:pStyle w:val="ListParagraph"/>
              <w:numPr>
                <w:ilvl w:val="0"/>
                <w:numId w:val="12"/>
              </w:numPr>
              <w:rPr>
                <w:b w:val="0"/>
                <w:sz w:val="20"/>
              </w:rPr>
            </w:pPr>
            <w:r w:rsidRPr="002C7BF2">
              <w:rPr>
                <w:b w:val="0"/>
                <w:sz w:val="20"/>
              </w:rPr>
              <w:t>Child: 0.2</w:t>
            </w:r>
            <w:r w:rsidR="00EA28C0" w:rsidRPr="002C7BF2">
              <w:rPr>
                <w:b w:val="0"/>
                <w:sz w:val="20"/>
              </w:rPr>
              <w:t xml:space="preserve"> ml.</w:t>
            </w:r>
            <w:r w:rsidRPr="002C7BF2">
              <w:rPr>
                <w:b w:val="0"/>
                <w:sz w:val="20"/>
              </w:rPr>
              <w:t>kg</w:t>
            </w:r>
            <w:r w:rsidR="00EA28C0" w:rsidRPr="002C7BF2">
              <w:rPr>
                <w:b w:val="0"/>
                <w:sz w:val="20"/>
                <w:vertAlign w:val="superscript"/>
              </w:rPr>
              <w:t>-1</w:t>
            </w:r>
            <w:r w:rsidRPr="002C7BF2">
              <w:rPr>
                <w:b w:val="0"/>
                <w:sz w:val="20"/>
              </w:rPr>
              <w:t xml:space="preserve"> of 10% calcium chloride </w:t>
            </w:r>
            <w:proofErr w:type="spellStart"/>
            <w:r w:rsidR="00EA28C0" w:rsidRPr="002C7BF2">
              <w:rPr>
                <w:b w:val="0"/>
                <w:sz w:val="20"/>
              </w:rPr>
              <w:t>i.v.</w:t>
            </w:r>
            <w:proofErr w:type="spellEnd"/>
          </w:p>
          <w:p w:rsidR="0089252C" w:rsidRPr="002C7BF2" w:rsidRDefault="0089252C" w:rsidP="0089252C">
            <w:pPr>
              <w:pStyle w:val="ListParagraph"/>
              <w:numPr>
                <w:ilvl w:val="0"/>
                <w:numId w:val="12"/>
              </w:numPr>
              <w:rPr>
                <w:b w:val="0"/>
                <w:sz w:val="20"/>
              </w:rPr>
            </w:pPr>
            <w:r w:rsidRPr="002C7BF2">
              <w:rPr>
                <w:b w:val="0"/>
                <w:sz w:val="20"/>
              </w:rPr>
              <w:t>Child: 0.5</w:t>
            </w:r>
            <w:r w:rsidR="00EA28C0" w:rsidRPr="002C7BF2">
              <w:rPr>
                <w:b w:val="0"/>
                <w:sz w:val="20"/>
              </w:rPr>
              <w:t xml:space="preserve"> ml.</w:t>
            </w:r>
            <w:r w:rsidRPr="002C7BF2">
              <w:rPr>
                <w:b w:val="0"/>
                <w:sz w:val="20"/>
              </w:rPr>
              <w:t>kg</w:t>
            </w:r>
            <w:r w:rsidR="00EA28C0" w:rsidRPr="002C7BF2">
              <w:rPr>
                <w:b w:val="0"/>
                <w:sz w:val="20"/>
                <w:vertAlign w:val="superscript"/>
              </w:rPr>
              <w:t>-1</w:t>
            </w:r>
            <w:r w:rsidRPr="002C7BF2">
              <w:rPr>
                <w:b w:val="0"/>
                <w:sz w:val="20"/>
              </w:rPr>
              <w:t xml:space="preserve"> of 10% calcium gluconate </w:t>
            </w:r>
            <w:proofErr w:type="spellStart"/>
            <w:r w:rsidR="00EA28C0" w:rsidRPr="002C7BF2">
              <w:rPr>
                <w:b w:val="0"/>
                <w:sz w:val="20"/>
              </w:rPr>
              <w:t>i.v.</w:t>
            </w:r>
            <w:proofErr w:type="spellEnd"/>
            <w:r w:rsidRPr="002C7BF2">
              <w:rPr>
                <w:sz w:val="20"/>
              </w:rPr>
              <w:t xml:space="preserve">                </w:t>
            </w:r>
          </w:p>
          <w:p w:rsidR="0089252C" w:rsidRPr="002C7BF2" w:rsidRDefault="0089252C" w:rsidP="0089252C">
            <w:pPr>
              <w:rPr>
                <w:sz w:val="20"/>
              </w:rPr>
            </w:pPr>
          </w:p>
          <w:p w:rsidR="0089252C" w:rsidRPr="002C7BF2" w:rsidRDefault="0089252C" w:rsidP="0089252C">
            <w:pPr>
              <w:pStyle w:val="ListParagraph"/>
              <w:ind w:left="0"/>
              <w:rPr>
                <w:sz w:val="20"/>
              </w:rPr>
            </w:pPr>
            <w:r w:rsidRPr="002C7BF2">
              <w:rPr>
                <w:sz w:val="20"/>
              </w:rPr>
              <w:t>TRANEXAMIC ACID:</w:t>
            </w:r>
          </w:p>
          <w:p w:rsidR="0089252C" w:rsidRPr="002C7BF2" w:rsidRDefault="00EA28C0" w:rsidP="0089252C">
            <w:pPr>
              <w:pStyle w:val="ListParagraph"/>
              <w:numPr>
                <w:ilvl w:val="0"/>
                <w:numId w:val="12"/>
              </w:numPr>
              <w:rPr>
                <w:b w:val="0"/>
                <w:sz w:val="20"/>
              </w:rPr>
            </w:pPr>
            <w:r w:rsidRPr="002C7BF2">
              <w:rPr>
                <w:b w:val="0"/>
                <w:sz w:val="20"/>
              </w:rPr>
              <w:t>Child: 15 mg.</w:t>
            </w:r>
            <w:r w:rsidR="0089252C" w:rsidRPr="002C7BF2">
              <w:rPr>
                <w:b w:val="0"/>
                <w:sz w:val="20"/>
              </w:rPr>
              <w:t>kg</w:t>
            </w:r>
            <w:r w:rsidRPr="002C7BF2">
              <w:rPr>
                <w:b w:val="0"/>
                <w:sz w:val="20"/>
                <w:vertAlign w:val="superscript"/>
              </w:rPr>
              <w:t>-1</w:t>
            </w:r>
            <w:r w:rsidR="0089252C" w:rsidRPr="002C7BF2">
              <w:rPr>
                <w:b w:val="0"/>
                <w:sz w:val="20"/>
              </w:rPr>
              <w:t xml:space="preserve"> </w:t>
            </w:r>
            <w:proofErr w:type="spellStart"/>
            <w:r w:rsidRPr="002C7BF2">
              <w:rPr>
                <w:b w:val="0"/>
                <w:sz w:val="20"/>
              </w:rPr>
              <w:t>i.v.</w:t>
            </w:r>
            <w:proofErr w:type="spellEnd"/>
            <w:r w:rsidRPr="002C7BF2">
              <w:rPr>
                <w:b w:val="0"/>
                <w:sz w:val="20"/>
              </w:rPr>
              <w:t xml:space="preserve"> bolus then 2 mg.</w:t>
            </w:r>
            <w:r w:rsidR="0089252C" w:rsidRPr="002C7BF2">
              <w:rPr>
                <w:b w:val="0"/>
                <w:sz w:val="20"/>
              </w:rPr>
              <w:t>kg</w:t>
            </w:r>
            <w:r w:rsidRPr="002C7BF2">
              <w:rPr>
                <w:b w:val="0"/>
                <w:sz w:val="20"/>
                <w:vertAlign w:val="superscript"/>
              </w:rPr>
              <w:t>-1</w:t>
            </w:r>
            <w:r w:rsidRPr="002C7BF2">
              <w:rPr>
                <w:b w:val="0"/>
                <w:sz w:val="20"/>
              </w:rPr>
              <w:t>.h</w:t>
            </w:r>
            <w:r w:rsidRPr="002C7BF2">
              <w:rPr>
                <w:b w:val="0"/>
                <w:sz w:val="20"/>
                <w:vertAlign w:val="superscript"/>
              </w:rPr>
              <w:t>-1</w:t>
            </w:r>
            <w:r w:rsidR="0089252C" w:rsidRPr="002C7BF2">
              <w:rPr>
                <w:b w:val="0"/>
                <w:sz w:val="20"/>
              </w:rPr>
              <w:t xml:space="preserve"> until bleeding stops</w:t>
            </w:r>
          </w:p>
          <w:p w:rsidR="002C7BF2" w:rsidRPr="002C7BF2" w:rsidRDefault="00EA28C0" w:rsidP="002C7BF2">
            <w:pPr>
              <w:pStyle w:val="ListParagraph"/>
              <w:numPr>
                <w:ilvl w:val="0"/>
                <w:numId w:val="12"/>
              </w:numPr>
              <w:rPr>
                <w:b w:val="0"/>
                <w:sz w:val="20"/>
              </w:rPr>
            </w:pPr>
            <w:r w:rsidRPr="002C7BF2">
              <w:rPr>
                <w:b w:val="0"/>
                <w:sz w:val="20"/>
              </w:rPr>
              <w:t xml:space="preserve">Adult: 1 g </w:t>
            </w:r>
            <w:proofErr w:type="spellStart"/>
            <w:r w:rsidRPr="002C7BF2">
              <w:rPr>
                <w:b w:val="0"/>
                <w:sz w:val="20"/>
              </w:rPr>
              <w:t>i.v.</w:t>
            </w:r>
            <w:proofErr w:type="spellEnd"/>
            <w:r w:rsidRPr="002C7BF2">
              <w:rPr>
                <w:b w:val="0"/>
                <w:sz w:val="20"/>
              </w:rPr>
              <w:t xml:space="preserve"> </w:t>
            </w:r>
            <w:r w:rsidR="002C7BF2" w:rsidRPr="002C7BF2">
              <w:rPr>
                <w:b w:val="0"/>
                <w:sz w:val="20"/>
              </w:rPr>
              <w:t>bolus, then:</w:t>
            </w:r>
          </w:p>
          <w:p w:rsidR="002C7BF2" w:rsidRDefault="002C7BF2" w:rsidP="002C7BF2">
            <w:pPr>
              <w:pStyle w:val="ListParagraph"/>
              <w:numPr>
                <w:ilvl w:val="1"/>
                <w:numId w:val="12"/>
              </w:numPr>
              <w:rPr>
                <w:b w:val="0"/>
                <w:sz w:val="20"/>
              </w:rPr>
            </w:pPr>
            <w:r>
              <w:rPr>
                <w:b w:val="0"/>
                <w:sz w:val="20"/>
              </w:rPr>
              <w:t>O</w:t>
            </w:r>
            <w:r w:rsidRPr="002C7BF2">
              <w:rPr>
                <w:b w:val="0"/>
                <w:sz w:val="20"/>
              </w:rPr>
              <w:t xml:space="preserve">bstetric haemorrhage, </w:t>
            </w:r>
            <w:r>
              <w:rPr>
                <w:b w:val="0"/>
                <w:sz w:val="20"/>
              </w:rPr>
              <w:t xml:space="preserve"> r</w:t>
            </w:r>
            <w:r w:rsidRPr="002C7BF2">
              <w:rPr>
                <w:b w:val="0"/>
                <w:sz w:val="20"/>
              </w:rPr>
              <w:t xml:space="preserve">epeat </w:t>
            </w:r>
            <w:r>
              <w:rPr>
                <w:b w:val="0"/>
                <w:sz w:val="20"/>
              </w:rPr>
              <w:t>dose 30 mins later</w:t>
            </w:r>
          </w:p>
          <w:p w:rsidR="0089252C" w:rsidRPr="002C7BF2" w:rsidRDefault="002C7BF2" w:rsidP="002C7BF2">
            <w:pPr>
              <w:pStyle w:val="ListParagraph"/>
              <w:numPr>
                <w:ilvl w:val="1"/>
                <w:numId w:val="12"/>
              </w:numPr>
              <w:rPr>
                <w:b w:val="0"/>
                <w:sz w:val="20"/>
              </w:rPr>
            </w:pPr>
            <w:r>
              <w:rPr>
                <w:b w:val="0"/>
                <w:sz w:val="20"/>
              </w:rPr>
              <w:t>Non-obstetric haemorrhage, 1</w:t>
            </w:r>
            <w:r w:rsidR="008D3056">
              <w:rPr>
                <w:b w:val="0"/>
                <w:sz w:val="20"/>
              </w:rPr>
              <w:t xml:space="preserve"> </w:t>
            </w:r>
            <w:r>
              <w:rPr>
                <w:b w:val="0"/>
                <w:sz w:val="20"/>
              </w:rPr>
              <w:t xml:space="preserve">g </w:t>
            </w:r>
            <w:proofErr w:type="spellStart"/>
            <w:r>
              <w:rPr>
                <w:b w:val="0"/>
                <w:sz w:val="20"/>
              </w:rPr>
              <w:t>i.v.</w:t>
            </w:r>
            <w:proofErr w:type="spellEnd"/>
            <w:r>
              <w:rPr>
                <w:b w:val="0"/>
                <w:sz w:val="20"/>
              </w:rPr>
              <w:t xml:space="preserve"> infusion over next 8 h</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12298F" w:rsidP="00042F42">
      <w:r>
        <w:rPr>
          <w:rFonts w:ascii="Times New Roman" w:eastAsia="Calibri" w:hAnsi="Times New Roman" w:cs="Times New Roman"/>
          <w:noProof/>
          <w:sz w:val="24"/>
          <w:szCs w:val="24"/>
          <w:lang w:eastAsia="en-GB"/>
        </w:rPr>
        <w:pict>
          <v:shape id="Text Box 3" o:spid="_x0000_s1027" type="#_x0000_t202" style="position:absolute;margin-left:25.2pt;margin-top:85.1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" filled="f" stroked="f">
            <v:textbox>
              <w:txbxContent>
                <w:p w:rsidR="00F63978" w:rsidRDefault="00C87481" w:rsidP="00F63978">
                  <w:pPr>
                    <w:spacing w:after="0"/>
                    <w:rPr>
                      <w:b/>
                      <w:bCs/>
                      <w:sz w:val="16"/>
                      <w:szCs w:val="16"/>
                    </w:rPr>
                  </w:pPr>
                  <w:r>
                    <w:rPr>
                      <w:b/>
                      <w:bCs/>
                      <w:sz w:val="16"/>
                      <w:szCs w:val="16"/>
                    </w:rPr>
                    <w:t xml:space="preserve">The Association </w:t>
                  </w:r>
                  <w:proofErr w:type="gramStart"/>
                  <w:r>
                    <w:rPr>
                      <w:b/>
                      <w:bCs/>
                      <w:sz w:val="16"/>
                      <w:szCs w:val="16"/>
                    </w:rPr>
                    <w:t>Of</w:t>
                  </w:r>
                  <w:proofErr w:type="gramEnd"/>
                  <w:r>
                    <w:rPr>
                      <w:b/>
                      <w:bCs/>
                      <w:sz w:val="16"/>
                      <w:szCs w:val="16"/>
                    </w:rPr>
                    <w:t xml:space="preserve"> Anaesthetists of Great Britain &amp; Ireland</w:t>
                  </w:r>
                  <w:r w:rsidR="00907D60">
                    <w:rPr>
                      <w:b/>
                      <w:bCs/>
                      <w:sz w:val="16"/>
                      <w:szCs w:val="16"/>
                    </w:rPr>
                    <w:t>201</w:t>
                  </w:r>
                  <w:r w:rsidR="009C69F6">
                    <w:rPr>
                      <w:b/>
                      <w:bCs/>
                      <w:sz w:val="16"/>
                      <w:szCs w:val="16"/>
                    </w:rPr>
                    <w:t>8</w:t>
                  </w:r>
                  <w:r w:rsidR="00F63978">
                    <w:rPr>
                      <w:b/>
                      <w:bCs/>
                      <w:sz w:val="16"/>
                      <w:szCs w:val="16"/>
                    </w:rPr>
                    <w:t xml:space="preserve">. </w:t>
                  </w:r>
                  <w:r w:rsidR="00F63978">
                    <w:rPr>
                      <w:b/>
                      <w:bCs/>
                      <w:color w:val="0000FF"/>
                      <w:sz w:val="16"/>
                      <w:szCs w:val="16"/>
                      <w:u w:val="single"/>
                    </w:rPr>
                    <w:t>www.aagbi.org/qrh</w:t>
                  </w:r>
                  <w:r w:rsidR="00F63978">
                    <w:rPr>
                      <w:b/>
                      <w:bCs/>
                      <w:sz w:val="16"/>
                      <w:szCs w:val="16"/>
                    </w:rPr>
                    <w:t xml:space="preserve"> </w:t>
                  </w:r>
                  <w:r w:rsidR="00F63978">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28.1pt;margin-top:88.75pt;width:57.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" stroked="f">
            <v:textbox>
              <w:txbxContent>
                <w:p w:rsidR="00A152EC" w:rsidRPr="00003411" w:rsidRDefault="00827C0E" w:rsidP="00003411">
                  <w:pPr>
                    <w:jc w:val="center"/>
                    <w:rPr>
                      <w:color w:val="808080" w:themeColor="background1" w:themeShade="80"/>
                      <w:sz w:val="48"/>
                    </w:rPr>
                  </w:pPr>
                  <w:r>
                    <w:rPr>
                      <w:color w:val="808080" w:themeColor="background1" w:themeShade="80"/>
                      <w:sz w:val="48"/>
                    </w:rPr>
                    <w:t>3-2</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8F" w:rsidRDefault="0012298F" w:rsidP="00725899">
      <w:pPr>
        <w:spacing w:after="0" w:line="240" w:lineRule="auto"/>
      </w:pPr>
      <w:r>
        <w:separator/>
      </w:r>
    </w:p>
  </w:endnote>
  <w:endnote w:type="continuationSeparator" w:id="0">
    <w:p w:rsidR="0012298F" w:rsidRDefault="0012298F" w:rsidP="0072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8F" w:rsidRDefault="0012298F" w:rsidP="00725899">
      <w:pPr>
        <w:spacing w:after="0" w:line="240" w:lineRule="auto"/>
      </w:pPr>
      <w:r>
        <w:separator/>
      </w:r>
    </w:p>
  </w:footnote>
  <w:footnote w:type="continuationSeparator" w:id="0">
    <w:p w:rsidR="0012298F" w:rsidRDefault="0012298F" w:rsidP="00725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7E3"/>
    <w:multiLevelType w:val="hybridMultilevel"/>
    <w:tmpl w:val="C9DE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230EC"/>
    <w:multiLevelType w:val="hybridMultilevel"/>
    <w:tmpl w:val="2C88ACFE"/>
    <w:lvl w:ilvl="0" w:tplc="39A00A52">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33EEB"/>
    <w:multiLevelType w:val="hybridMultilevel"/>
    <w:tmpl w:val="E21E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A527C"/>
    <w:multiLevelType w:val="hybridMultilevel"/>
    <w:tmpl w:val="3018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534B1"/>
    <w:multiLevelType w:val="hybridMultilevel"/>
    <w:tmpl w:val="62F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179F7"/>
    <w:multiLevelType w:val="hybridMultilevel"/>
    <w:tmpl w:val="B3A4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87159"/>
    <w:multiLevelType w:val="hybridMultilevel"/>
    <w:tmpl w:val="7BB8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AF481F"/>
    <w:multiLevelType w:val="hybridMultilevel"/>
    <w:tmpl w:val="0756AA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0">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654452C"/>
    <w:multiLevelType w:val="hybridMultilevel"/>
    <w:tmpl w:val="890E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F36114F"/>
    <w:multiLevelType w:val="hybridMultilevel"/>
    <w:tmpl w:val="BAF24EF0"/>
    <w:lvl w:ilvl="0" w:tplc="C7B029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3438EE"/>
    <w:multiLevelType w:val="hybridMultilevel"/>
    <w:tmpl w:val="8A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4C9276D"/>
    <w:multiLevelType w:val="hybridMultilevel"/>
    <w:tmpl w:val="76BA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5"/>
  </w:num>
  <w:num w:numId="5">
    <w:abstractNumId w:val="12"/>
  </w:num>
  <w:num w:numId="6">
    <w:abstractNumId w:val="16"/>
  </w:num>
  <w:num w:numId="7">
    <w:abstractNumId w:val="9"/>
  </w:num>
  <w:num w:numId="8">
    <w:abstractNumId w:val="10"/>
  </w:num>
  <w:num w:numId="9">
    <w:abstractNumId w:val="0"/>
  </w:num>
  <w:num w:numId="10">
    <w:abstractNumId w:val="3"/>
  </w:num>
  <w:num w:numId="11">
    <w:abstractNumId w:val="8"/>
  </w:num>
  <w:num w:numId="12">
    <w:abstractNumId w:val="11"/>
  </w:num>
  <w:num w:numId="13">
    <w:abstractNumId w:val="13"/>
  </w:num>
  <w:num w:numId="14">
    <w:abstractNumId w:val="1"/>
  </w:num>
  <w:num w:numId="15">
    <w:abstractNumId w:val="7"/>
  </w:num>
  <w:num w:numId="16">
    <w:abstractNumId w:val="17"/>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48C"/>
    <w:rsid w:val="000005A8"/>
    <w:rsid w:val="00003411"/>
    <w:rsid w:val="00032E56"/>
    <w:rsid w:val="00042F42"/>
    <w:rsid w:val="000627CC"/>
    <w:rsid w:val="000C1940"/>
    <w:rsid w:val="000E4588"/>
    <w:rsid w:val="000F199E"/>
    <w:rsid w:val="00113109"/>
    <w:rsid w:val="0011605F"/>
    <w:rsid w:val="00116612"/>
    <w:rsid w:val="0012298F"/>
    <w:rsid w:val="00136000"/>
    <w:rsid w:val="001515EF"/>
    <w:rsid w:val="00151642"/>
    <w:rsid w:val="00151B9A"/>
    <w:rsid w:val="00152A7C"/>
    <w:rsid w:val="0017013A"/>
    <w:rsid w:val="001A66A9"/>
    <w:rsid w:val="001D548C"/>
    <w:rsid w:val="001F6867"/>
    <w:rsid w:val="002220B8"/>
    <w:rsid w:val="002232DB"/>
    <w:rsid w:val="00240BAC"/>
    <w:rsid w:val="00250723"/>
    <w:rsid w:val="00275362"/>
    <w:rsid w:val="00297240"/>
    <w:rsid w:val="002A4887"/>
    <w:rsid w:val="002C010B"/>
    <w:rsid w:val="002C7BF2"/>
    <w:rsid w:val="002D00DA"/>
    <w:rsid w:val="002D55C0"/>
    <w:rsid w:val="002E6669"/>
    <w:rsid w:val="002F27E9"/>
    <w:rsid w:val="0033247C"/>
    <w:rsid w:val="00343E9E"/>
    <w:rsid w:val="00350200"/>
    <w:rsid w:val="0036061E"/>
    <w:rsid w:val="00410A8E"/>
    <w:rsid w:val="004555AC"/>
    <w:rsid w:val="004932A9"/>
    <w:rsid w:val="004B4DC6"/>
    <w:rsid w:val="004B6073"/>
    <w:rsid w:val="004E7E7C"/>
    <w:rsid w:val="00500C80"/>
    <w:rsid w:val="00501881"/>
    <w:rsid w:val="005240E3"/>
    <w:rsid w:val="005362A7"/>
    <w:rsid w:val="00555370"/>
    <w:rsid w:val="005575F0"/>
    <w:rsid w:val="005771DC"/>
    <w:rsid w:val="00582073"/>
    <w:rsid w:val="0059461A"/>
    <w:rsid w:val="005D4188"/>
    <w:rsid w:val="006225BF"/>
    <w:rsid w:val="006321B7"/>
    <w:rsid w:val="0068039E"/>
    <w:rsid w:val="006867D2"/>
    <w:rsid w:val="00691434"/>
    <w:rsid w:val="006948BD"/>
    <w:rsid w:val="006A64A6"/>
    <w:rsid w:val="006C4009"/>
    <w:rsid w:val="006D6E0F"/>
    <w:rsid w:val="0071646E"/>
    <w:rsid w:val="007251A9"/>
    <w:rsid w:val="00725899"/>
    <w:rsid w:val="0077259B"/>
    <w:rsid w:val="00775B62"/>
    <w:rsid w:val="00775ECE"/>
    <w:rsid w:val="00782930"/>
    <w:rsid w:val="00794C91"/>
    <w:rsid w:val="007A41C2"/>
    <w:rsid w:val="007B1596"/>
    <w:rsid w:val="007B1D53"/>
    <w:rsid w:val="007B5439"/>
    <w:rsid w:val="007C62B9"/>
    <w:rsid w:val="007D42DA"/>
    <w:rsid w:val="008031AF"/>
    <w:rsid w:val="0082419A"/>
    <w:rsid w:val="00827C0E"/>
    <w:rsid w:val="008440AF"/>
    <w:rsid w:val="00845D07"/>
    <w:rsid w:val="00853D7D"/>
    <w:rsid w:val="00861DE4"/>
    <w:rsid w:val="0089252C"/>
    <w:rsid w:val="008C3791"/>
    <w:rsid w:val="008D3056"/>
    <w:rsid w:val="009067E1"/>
    <w:rsid w:val="00907D60"/>
    <w:rsid w:val="00914F76"/>
    <w:rsid w:val="009266E8"/>
    <w:rsid w:val="00937DAE"/>
    <w:rsid w:val="0094292D"/>
    <w:rsid w:val="009837ED"/>
    <w:rsid w:val="009B0FCF"/>
    <w:rsid w:val="009B4BF8"/>
    <w:rsid w:val="009C69F6"/>
    <w:rsid w:val="00A14329"/>
    <w:rsid w:val="00A152EC"/>
    <w:rsid w:val="00A41BE9"/>
    <w:rsid w:val="00A56AAF"/>
    <w:rsid w:val="00A63165"/>
    <w:rsid w:val="00A66A79"/>
    <w:rsid w:val="00A85E95"/>
    <w:rsid w:val="00A92C08"/>
    <w:rsid w:val="00AF4896"/>
    <w:rsid w:val="00AF6CD9"/>
    <w:rsid w:val="00B00495"/>
    <w:rsid w:val="00B0440C"/>
    <w:rsid w:val="00B07AF0"/>
    <w:rsid w:val="00B14FC0"/>
    <w:rsid w:val="00B16C70"/>
    <w:rsid w:val="00B25024"/>
    <w:rsid w:val="00B3623A"/>
    <w:rsid w:val="00B40F1C"/>
    <w:rsid w:val="00B60E12"/>
    <w:rsid w:val="00B71674"/>
    <w:rsid w:val="00B80E78"/>
    <w:rsid w:val="00B85FB0"/>
    <w:rsid w:val="00BA0614"/>
    <w:rsid w:val="00BB20BB"/>
    <w:rsid w:val="00BC27E5"/>
    <w:rsid w:val="00C04E20"/>
    <w:rsid w:val="00C31732"/>
    <w:rsid w:val="00C644C6"/>
    <w:rsid w:val="00C87481"/>
    <w:rsid w:val="00C97C34"/>
    <w:rsid w:val="00CC2DA7"/>
    <w:rsid w:val="00CD460D"/>
    <w:rsid w:val="00D0381D"/>
    <w:rsid w:val="00D22920"/>
    <w:rsid w:val="00D23DFC"/>
    <w:rsid w:val="00D5393A"/>
    <w:rsid w:val="00D77B5D"/>
    <w:rsid w:val="00DB1F8A"/>
    <w:rsid w:val="00DC75BF"/>
    <w:rsid w:val="00DD2424"/>
    <w:rsid w:val="00DF0037"/>
    <w:rsid w:val="00DF2019"/>
    <w:rsid w:val="00DF6141"/>
    <w:rsid w:val="00E05FCC"/>
    <w:rsid w:val="00E7502D"/>
    <w:rsid w:val="00EA28C0"/>
    <w:rsid w:val="00EA7E82"/>
    <w:rsid w:val="00EC0DEE"/>
    <w:rsid w:val="00F26CD0"/>
    <w:rsid w:val="00F33DE5"/>
    <w:rsid w:val="00F63978"/>
    <w:rsid w:val="00FA0F2F"/>
    <w:rsid w:val="00FB7E2D"/>
    <w:rsid w:val="00FE4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892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892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7049-8BFD-45F7-B297-2F637DD8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Tim Meek</cp:lastModifiedBy>
  <cp:revision>3</cp:revision>
  <dcterms:created xsi:type="dcterms:W3CDTF">2018-05-11T10:14:00Z</dcterms:created>
  <dcterms:modified xsi:type="dcterms:W3CDTF">2018-05-11T10:20:00Z</dcterms:modified>
</cp:coreProperties>
</file>